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6C7" w:rsidRDefault="000F66C7" w:rsidP="00B26510">
      <w:pPr>
        <w:ind w:left="720"/>
        <w:rPr>
          <w:rFonts w:cs="Arial"/>
          <w:b/>
          <w:bCs/>
        </w:rPr>
      </w:pPr>
    </w:p>
    <w:p w:rsidR="000F66C7" w:rsidRPr="000F66C7" w:rsidRDefault="000F66C7" w:rsidP="00B26510">
      <w:pPr>
        <w:tabs>
          <w:tab w:val="left" w:pos="3060"/>
        </w:tabs>
        <w:ind w:left="720"/>
        <w:jc w:val="center"/>
        <w:rPr>
          <w:rFonts w:cs="Arial"/>
          <w:b/>
          <w:bCs/>
          <w:i/>
          <w:sz w:val="32"/>
          <w:szCs w:val="32"/>
        </w:rPr>
      </w:pPr>
      <w:r w:rsidRPr="000F66C7">
        <w:rPr>
          <w:rFonts w:cs="Arial"/>
          <w:b/>
          <w:bCs/>
          <w:i/>
          <w:sz w:val="32"/>
          <w:szCs w:val="32"/>
        </w:rPr>
        <w:t>FOR MUNSON USE ONLY</w:t>
      </w:r>
    </w:p>
    <w:p w:rsidR="000F66C7" w:rsidRPr="000F66C7" w:rsidRDefault="000F66C7" w:rsidP="00B26510">
      <w:pPr>
        <w:ind w:left="720"/>
        <w:jc w:val="center"/>
        <w:rPr>
          <w:rFonts w:cs="Arial"/>
          <w:b/>
          <w:bCs/>
          <w:sz w:val="32"/>
          <w:szCs w:val="32"/>
        </w:rPr>
      </w:pPr>
    </w:p>
    <w:p w:rsidR="000F66C7" w:rsidRPr="00B26510" w:rsidRDefault="000F66C7" w:rsidP="00B26510">
      <w:pPr>
        <w:ind w:left="720"/>
        <w:jc w:val="center"/>
        <w:rPr>
          <w:rFonts w:cs="Arial"/>
          <w:b/>
          <w:bCs/>
          <w:i/>
        </w:rPr>
      </w:pPr>
      <w:r w:rsidRPr="00B26510">
        <w:rPr>
          <w:rFonts w:cs="Arial"/>
          <w:b/>
          <w:bCs/>
          <w:i/>
        </w:rPr>
        <w:t>If used as template, MUST change name of agency and details to reflect YOUR practice</w:t>
      </w:r>
    </w:p>
    <w:p w:rsidR="000F66C7" w:rsidRDefault="000F66C7" w:rsidP="00B26510">
      <w:pPr>
        <w:ind w:left="720"/>
        <w:rPr>
          <w:rFonts w:cs="Arial"/>
          <w:b/>
          <w:bCs/>
        </w:rPr>
      </w:pPr>
    </w:p>
    <w:p w:rsidR="000F66C7" w:rsidRDefault="000F66C7" w:rsidP="00B26510">
      <w:pPr>
        <w:ind w:left="720"/>
        <w:rPr>
          <w:rFonts w:cs="Arial"/>
          <w:b/>
          <w:bCs/>
        </w:rPr>
      </w:pPr>
    </w:p>
    <w:p w:rsidR="00C05666" w:rsidRPr="005C4490" w:rsidRDefault="00C05666" w:rsidP="00B26510">
      <w:pPr>
        <w:ind w:left="720"/>
        <w:rPr>
          <w:rFonts w:cs="Arial"/>
          <w:b/>
          <w:bCs/>
        </w:rPr>
      </w:pPr>
      <w:r w:rsidRPr="005C4490">
        <w:rPr>
          <w:rFonts w:cs="Arial"/>
          <w:b/>
          <w:bCs/>
        </w:rPr>
        <w:t>Name of Policy: Breach Incident Management and Breach Notification Policy</w:t>
      </w:r>
    </w:p>
    <w:p w:rsidR="00666506" w:rsidRPr="005C4490" w:rsidRDefault="00666506" w:rsidP="00B26510">
      <w:pPr>
        <w:ind w:left="720"/>
        <w:rPr>
          <w:rFonts w:cs="Arial"/>
          <w:b/>
          <w:bCs/>
        </w:rPr>
      </w:pPr>
    </w:p>
    <w:p w:rsidR="00666506" w:rsidRDefault="00666506" w:rsidP="00B26510">
      <w:pPr>
        <w:ind w:left="720"/>
        <w:rPr>
          <w:rFonts w:cs="Arial"/>
          <w:b/>
        </w:rPr>
      </w:pPr>
      <w:r>
        <w:rPr>
          <w:rFonts w:cs="Arial"/>
          <w:b/>
        </w:rPr>
        <w:t>PURPOSE:</w:t>
      </w:r>
    </w:p>
    <w:p w:rsidR="00666506" w:rsidRDefault="00666506" w:rsidP="00B26510">
      <w:pPr>
        <w:ind w:left="720"/>
        <w:rPr>
          <w:rFonts w:cs="Arial"/>
          <w:bCs/>
        </w:rPr>
      </w:pPr>
      <w:r>
        <w:rPr>
          <w:rFonts w:cs="Arial"/>
          <w:bCs/>
        </w:rPr>
        <w:t> </w:t>
      </w:r>
    </w:p>
    <w:p w:rsidR="00A44A02" w:rsidRDefault="00332DDD" w:rsidP="00B26510">
      <w:pPr>
        <w:ind w:left="720"/>
        <w:rPr>
          <w:rFonts w:cs="Arial"/>
          <w:bCs/>
        </w:rPr>
      </w:pPr>
      <w:r>
        <w:rPr>
          <w:rFonts w:cs="Arial"/>
          <w:bCs/>
        </w:rPr>
        <w:t xml:space="preserve">The purpose of this policy is to </w:t>
      </w:r>
      <w:r w:rsidR="00A44A02">
        <w:rPr>
          <w:rFonts w:cs="Arial"/>
          <w:bCs/>
        </w:rPr>
        <w:t xml:space="preserve">guide </w:t>
      </w:r>
      <w:r w:rsidR="005C4490">
        <w:rPr>
          <w:rFonts w:cs="Arial"/>
          <w:bCs/>
        </w:rPr>
        <w:t>Munson</w:t>
      </w:r>
      <w:r w:rsidR="00A44A02">
        <w:rPr>
          <w:rFonts w:cs="Arial"/>
          <w:bCs/>
        </w:rPr>
        <w:t>’s</w:t>
      </w:r>
      <w:r w:rsidR="005C4490">
        <w:rPr>
          <w:rFonts w:cs="Arial"/>
          <w:bCs/>
        </w:rPr>
        <w:t xml:space="preserve"> </w:t>
      </w:r>
      <w:r w:rsidR="00A44A02">
        <w:rPr>
          <w:rFonts w:cs="Arial"/>
          <w:bCs/>
        </w:rPr>
        <w:t>response to</w:t>
      </w:r>
      <w:r>
        <w:rPr>
          <w:rFonts w:cs="Arial"/>
          <w:bCs/>
        </w:rPr>
        <w:t xml:space="preserve"> any privacy or security breach complaint, report or audit in accordance with the regulations and recommendations as defined in</w:t>
      </w:r>
      <w:r w:rsidR="00666506">
        <w:rPr>
          <w:rFonts w:cs="Arial"/>
          <w:bCs/>
        </w:rPr>
        <w:t xml:space="preserve"> Privacy and Security Standards of the Health Insurance Portability and Accountability Act of 1996 and its implementing regulations, 45 CFR Parts 160 and 164, as they are amended from time to time (collectively “HIPAA”). </w:t>
      </w:r>
    </w:p>
    <w:p w:rsidR="00A44A02" w:rsidRDefault="00A44A02" w:rsidP="00B26510">
      <w:pPr>
        <w:ind w:left="720"/>
        <w:rPr>
          <w:rFonts w:cs="Arial"/>
          <w:bCs/>
        </w:rPr>
      </w:pPr>
    </w:p>
    <w:p w:rsidR="00666506" w:rsidRDefault="00A44A02" w:rsidP="00B26510">
      <w:pPr>
        <w:ind w:left="720"/>
        <w:rPr>
          <w:rFonts w:cs="Arial"/>
          <w:bCs/>
        </w:rPr>
      </w:pPr>
      <w:r>
        <w:rPr>
          <w:rFonts w:cs="Arial"/>
          <w:bCs/>
        </w:rPr>
        <w:t>The HIPAA Omnibus</w:t>
      </w:r>
      <w:r w:rsidR="00332DDD" w:rsidRPr="00A44A02">
        <w:rPr>
          <w:rFonts w:cs="Arial"/>
          <w:bCs/>
        </w:rPr>
        <w:t xml:space="preserve"> Rule</w:t>
      </w:r>
      <w:r w:rsidR="00332DDD" w:rsidRPr="00332DDD">
        <w:rPr>
          <w:rFonts w:cs="Arial"/>
          <w:b/>
          <w:bCs/>
        </w:rPr>
        <w:t>,</w:t>
      </w:r>
      <w:r w:rsidR="00332DDD">
        <w:rPr>
          <w:rFonts w:cs="Arial"/>
          <w:bCs/>
        </w:rPr>
        <w:t xml:space="preserve"> effective March 26, 2013 significantly exp</w:t>
      </w:r>
      <w:r w:rsidR="00C05666">
        <w:rPr>
          <w:rFonts w:cs="Arial"/>
          <w:bCs/>
        </w:rPr>
        <w:t>anded</w:t>
      </w:r>
      <w:r w:rsidR="00332DDD">
        <w:rPr>
          <w:rFonts w:cs="Arial"/>
          <w:bCs/>
        </w:rPr>
        <w:t xml:space="preserve"> the privacy and security requirements u</w:t>
      </w:r>
      <w:r>
        <w:rPr>
          <w:rFonts w:cs="Arial"/>
          <w:bCs/>
        </w:rPr>
        <w:t>nder HIPAA</w:t>
      </w:r>
      <w:r w:rsidR="00332DDD">
        <w:rPr>
          <w:rFonts w:cs="Arial"/>
          <w:bCs/>
        </w:rPr>
        <w:t>. HIPAA def</w:t>
      </w:r>
      <w:r w:rsidR="009670C8">
        <w:rPr>
          <w:rFonts w:cs="Arial"/>
          <w:bCs/>
        </w:rPr>
        <w:t>ines a breach as the acquisition, access, use or disclosure of protected health information in a manner not permitted under the HIPAA Privacy Rule</w:t>
      </w:r>
      <w:r w:rsidR="00C05666">
        <w:rPr>
          <w:rFonts w:cs="Arial"/>
          <w:bCs/>
        </w:rPr>
        <w:t>,</w:t>
      </w:r>
      <w:r w:rsidR="009670C8">
        <w:rPr>
          <w:rFonts w:cs="Arial"/>
          <w:bCs/>
        </w:rPr>
        <w:t xml:space="preserve"> which compromises the security or privacy of the Protected Health Information (PHI).  The Final Rule replaces the “harm threshold” used in the Interim HIPAA Rule with a presumption that that any acquisition, access, use or disclosure of PHI not permitted under the Privacy Rule would be considered a breach unless the covered entity or business associate could demonstrate that there is a low probability that</w:t>
      </w:r>
      <w:r w:rsidR="00C05666">
        <w:rPr>
          <w:rFonts w:cs="Arial"/>
          <w:bCs/>
        </w:rPr>
        <w:t>, based on a risk assessment, the PHI had</w:t>
      </w:r>
      <w:r w:rsidR="009670C8">
        <w:rPr>
          <w:rFonts w:cs="Arial"/>
          <w:bCs/>
        </w:rPr>
        <w:t xml:space="preserve"> been comprom</w:t>
      </w:r>
      <w:r w:rsidR="00C05666">
        <w:rPr>
          <w:rFonts w:cs="Arial"/>
          <w:bCs/>
        </w:rPr>
        <w:t>ised.</w:t>
      </w:r>
      <w:r w:rsidR="009670C8">
        <w:rPr>
          <w:rFonts w:cs="Arial"/>
          <w:bCs/>
        </w:rPr>
        <w:t xml:space="preserve"> </w:t>
      </w:r>
    </w:p>
    <w:p w:rsidR="00666506" w:rsidRDefault="00666506" w:rsidP="00B26510">
      <w:pPr>
        <w:ind w:left="720"/>
        <w:rPr>
          <w:rFonts w:cs="Arial"/>
          <w:bCs/>
        </w:rPr>
      </w:pPr>
      <w:r>
        <w:rPr>
          <w:rFonts w:cs="Arial"/>
          <w:bCs/>
        </w:rPr>
        <w:t> </w:t>
      </w:r>
    </w:p>
    <w:p w:rsidR="00666506" w:rsidRDefault="00666506" w:rsidP="00B26510">
      <w:pPr>
        <w:ind w:left="720"/>
        <w:rPr>
          <w:rFonts w:cs="Arial"/>
          <w:b/>
        </w:rPr>
      </w:pPr>
      <w:r>
        <w:rPr>
          <w:rFonts w:cs="Arial"/>
          <w:b/>
        </w:rPr>
        <w:t>POLICY:</w:t>
      </w:r>
    </w:p>
    <w:p w:rsidR="00666506" w:rsidRDefault="00666506" w:rsidP="00B26510">
      <w:pPr>
        <w:ind w:left="720"/>
        <w:rPr>
          <w:rFonts w:cs="Arial"/>
          <w:bCs/>
        </w:rPr>
      </w:pPr>
      <w:r>
        <w:rPr>
          <w:rFonts w:cs="Arial"/>
          <w:bCs/>
        </w:rPr>
        <w:t> </w:t>
      </w:r>
    </w:p>
    <w:p w:rsidR="00C05666" w:rsidRDefault="00666506" w:rsidP="00B26510">
      <w:pPr>
        <w:ind w:left="720"/>
        <w:rPr>
          <w:rFonts w:cs="Arial"/>
          <w:bCs/>
        </w:rPr>
      </w:pPr>
      <w:r>
        <w:rPr>
          <w:rFonts w:cs="Arial"/>
          <w:bCs/>
        </w:rPr>
        <w:t>It is Munson</w:t>
      </w:r>
      <w:r w:rsidR="00555CB7">
        <w:rPr>
          <w:rFonts w:cs="Arial"/>
          <w:bCs/>
        </w:rPr>
        <w:t>’s</w:t>
      </w:r>
      <w:r>
        <w:rPr>
          <w:rFonts w:cs="Arial"/>
          <w:bCs/>
        </w:rPr>
        <w:t xml:space="preserve"> policy to prot</w:t>
      </w:r>
      <w:r w:rsidR="00847D45">
        <w:rPr>
          <w:rFonts w:cs="Arial"/>
          <w:bCs/>
        </w:rPr>
        <w:t>ect the privacy and security</w:t>
      </w:r>
      <w:r w:rsidR="00A44A02">
        <w:rPr>
          <w:rFonts w:cs="Arial"/>
          <w:bCs/>
        </w:rPr>
        <w:t xml:space="preserve"> of PHI</w:t>
      </w:r>
      <w:r>
        <w:rPr>
          <w:rFonts w:cs="Arial"/>
          <w:bCs/>
        </w:rPr>
        <w:t xml:space="preserve"> in compliance with applicable </w:t>
      </w:r>
      <w:r w:rsidR="00332DDD">
        <w:rPr>
          <w:rFonts w:cs="Arial"/>
          <w:bCs/>
        </w:rPr>
        <w:t xml:space="preserve">Federal and State </w:t>
      </w:r>
      <w:r>
        <w:rPr>
          <w:rFonts w:cs="Arial"/>
          <w:bCs/>
        </w:rPr>
        <w:t>law</w:t>
      </w:r>
      <w:r w:rsidR="00045D81">
        <w:rPr>
          <w:rFonts w:cs="Arial"/>
          <w:bCs/>
        </w:rPr>
        <w:t>,</w:t>
      </w:r>
      <w:r>
        <w:rPr>
          <w:rFonts w:cs="Arial"/>
          <w:bCs/>
        </w:rPr>
        <w:t xml:space="preserve"> as well as with Munson policies and procedures. </w:t>
      </w:r>
      <w:r w:rsidR="005C4490">
        <w:rPr>
          <w:rFonts w:cs="Arial"/>
          <w:bCs/>
        </w:rPr>
        <w:t>It is Munson’s policy to foster a culture of respect for pat</w:t>
      </w:r>
      <w:r w:rsidR="00A44A02">
        <w:rPr>
          <w:rFonts w:cs="Arial"/>
          <w:bCs/>
        </w:rPr>
        <w:t>ient privacy and to prevent</w:t>
      </w:r>
      <w:r w:rsidR="005C4490">
        <w:rPr>
          <w:rFonts w:cs="Arial"/>
          <w:bCs/>
        </w:rPr>
        <w:t xml:space="preserve"> </w:t>
      </w:r>
      <w:r w:rsidR="00BF7871">
        <w:rPr>
          <w:rFonts w:cs="Arial"/>
          <w:bCs/>
        </w:rPr>
        <w:t xml:space="preserve">(PHI) </w:t>
      </w:r>
      <w:r w:rsidR="005C4490">
        <w:rPr>
          <w:rFonts w:cs="Arial"/>
          <w:bCs/>
        </w:rPr>
        <w:t>from being compromised.</w:t>
      </w:r>
      <w:r>
        <w:rPr>
          <w:rFonts w:cs="Arial"/>
          <w:bCs/>
        </w:rPr>
        <w:t xml:space="preserve"> Munson’s Priva</w:t>
      </w:r>
      <w:r w:rsidR="00045D81">
        <w:rPr>
          <w:rFonts w:cs="Arial"/>
          <w:bCs/>
        </w:rPr>
        <w:t xml:space="preserve">cy Officer </w:t>
      </w:r>
      <w:r w:rsidR="00332DDD">
        <w:rPr>
          <w:rFonts w:cs="Arial"/>
          <w:bCs/>
        </w:rPr>
        <w:t xml:space="preserve">and/or Security Officer </w:t>
      </w:r>
      <w:r w:rsidR="005C4490">
        <w:rPr>
          <w:rFonts w:cs="Arial"/>
          <w:bCs/>
        </w:rPr>
        <w:t>will thoroughly</w:t>
      </w:r>
      <w:r>
        <w:rPr>
          <w:rFonts w:cs="Arial"/>
          <w:bCs/>
        </w:rPr>
        <w:t xml:space="preserve"> investigate, </w:t>
      </w:r>
      <w:r w:rsidR="00045D81">
        <w:rPr>
          <w:rFonts w:cs="Arial"/>
          <w:bCs/>
        </w:rPr>
        <w:t xml:space="preserve">document, report and </w:t>
      </w:r>
      <w:r w:rsidR="005C4490">
        <w:rPr>
          <w:rFonts w:cs="Arial"/>
          <w:bCs/>
        </w:rPr>
        <w:t xml:space="preserve">work </w:t>
      </w:r>
      <w:r w:rsidR="00A44A02">
        <w:rPr>
          <w:rFonts w:cs="Arial"/>
          <w:bCs/>
        </w:rPr>
        <w:t xml:space="preserve">with department managers and Human Resources </w:t>
      </w:r>
      <w:r w:rsidR="005C4490">
        <w:rPr>
          <w:rFonts w:cs="Arial"/>
          <w:bCs/>
        </w:rPr>
        <w:t xml:space="preserve">to mitigate </w:t>
      </w:r>
      <w:r>
        <w:rPr>
          <w:rFonts w:cs="Arial"/>
          <w:bCs/>
        </w:rPr>
        <w:t>all incidents, i</w:t>
      </w:r>
      <w:r w:rsidR="00BF7871">
        <w:rPr>
          <w:rFonts w:cs="Arial"/>
          <w:bCs/>
        </w:rPr>
        <w:t>ncluding</w:t>
      </w:r>
      <w:r>
        <w:rPr>
          <w:rFonts w:cs="Arial"/>
          <w:bCs/>
        </w:rPr>
        <w:t xml:space="preserve"> suspected or known violations of privacy </w:t>
      </w:r>
      <w:r w:rsidR="00332DDD">
        <w:rPr>
          <w:rFonts w:cs="Arial"/>
          <w:bCs/>
        </w:rPr>
        <w:t>and security</w:t>
      </w:r>
      <w:r w:rsidR="00C05666">
        <w:rPr>
          <w:rFonts w:cs="Arial"/>
          <w:bCs/>
        </w:rPr>
        <w:t>,</w:t>
      </w:r>
      <w:r w:rsidR="00332DDD">
        <w:rPr>
          <w:rFonts w:cs="Arial"/>
          <w:bCs/>
        </w:rPr>
        <w:t xml:space="preserve"> in a timely manner. </w:t>
      </w:r>
    </w:p>
    <w:p w:rsidR="00BF7871" w:rsidRDefault="00BF7871" w:rsidP="00B26510">
      <w:pPr>
        <w:ind w:left="720"/>
        <w:rPr>
          <w:rFonts w:cs="Arial"/>
          <w:bCs/>
        </w:rPr>
      </w:pPr>
    </w:p>
    <w:p w:rsidR="00BF7871" w:rsidRDefault="00C12C39" w:rsidP="00B26510">
      <w:pPr>
        <w:ind w:left="720"/>
        <w:rPr>
          <w:rFonts w:cs="Arial"/>
          <w:bCs/>
          <w:u w:val="single"/>
        </w:rPr>
      </w:pPr>
      <w:r>
        <w:rPr>
          <w:rFonts w:cs="Arial"/>
          <w:bCs/>
        </w:rPr>
        <w:t xml:space="preserve">This policy clarifies privacy and security </w:t>
      </w:r>
      <w:r w:rsidR="00BF7871">
        <w:rPr>
          <w:rFonts w:cs="Arial"/>
          <w:bCs/>
        </w:rPr>
        <w:t xml:space="preserve">breach </w:t>
      </w:r>
      <w:r w:rsidR="00555CB7">
        <w:rPr>
          <w:rFonts w:cs="Arial"/>
          <w:bCs/>
        </w:rPr>
        <w:t xml:space="preserve">incidence response process, </w:t>
      </w:r>
      <w:r>
        <w:rPr>
          <w:rFonts w:cs="Arial"/>
          <w:bCs/>
        </w:rPr>
        <w:t xml:space="preserve">supports Munson’s sanctions policy, </w:t>
      </w:r>
      <w:r w:rsidRPr="00C12C39">
        <w:rPr>
          <w:rFonts w:cs="Arial"/>
          <w:bCs/>
          <w:u w:val="single"/>
        </w:rPr>
        <w:t>Confidentiality and Systems</w:t>
      </w:r>
      <w:r w:rsidR="00A44A02">
        <w:rPr>
          <w:rFonts w:cs="Arial"/>
          <w:bCs/>
          <w:u w:val="single"/>
        </w:rPr>
        <w:t xml:space="preserve"> Usage Breach, #001.048 </w:t>
      </w:r>
      <w:r w:rsidR="00C05666" w:rsidRPr="00C05666">
        <w:rPr>
          <w:rFonts w:cs="Arial"/>
          <w:bCs/>
        </w:rPr>
        <w:t>and incorporates Munson’</w:t>
      </w:r>
      <w:r w:rsidR="00C05666">
        <w:rPr>
          <w:rFonts w:cs="Arial"/>
          <w:bCs/>
        </w:rPr>
        <w:t>s</w:t>
      </w:r>
      <w:r w:rsidR="00BF7871">
        <w:rPr>
          <w:rFonts w:cs="Arial"/>
          <w:bCs/>
        </w:rPr>
        <w:t xml:space="preserve"> procedural guides </w:t>
      </w:r>
      <w:r w:rsidR="0052297B" w:rsidRPr="0052297B">
        <w:rPr>
          <w:rFonts w:cs="Arial"/>
          <w:bCs/>
        </w:rPr>
        <w:t>on</w:t>
      </w:r>
      <w:r w:rsidR="00C05666">
        <w:rPr>
          <w:rFonts w:cs="Arial"/>
          <w:bCs/>
        </w:rPr>
        <w:t xml:space="preserve"> </w:t>
      </w:r>
      <w:r w:rsidR="00C05666" w:rsidRPr="00C05666">
        <w:rPr>
          <w:rFonts w:cs="Arial"/>
          <w:bCs/>
          <w:u w:val="single"/>
        </w:rPr>
        <w:t>Breach Notification</w:t>
      </w:r>
      <w:r w:rsidR="00C05666">
        <w:rPr>
          <w:rFonts w:cs="Arial"/>
          <w:bCs/>
        </w:rPr>
        <w:t xml:space="preserve"> </w:t>
      </w:r>
      <w:proofErr w:type="gramStart"/>
      <w:r w:rsidR="00C05666">
        <w:rPr>
          <w:rFonts w:cs="Arial"/>
          <w:bCs/>
        </w:rPr>
        <w:t xml:space="preserve">and </w:t>
      </w:r>
      <w:r w:rsidR="0052297B">
        <w:rPr>
          <w:rFonts w:cs="Arial"/>
          <w:bCs/>
          <w:u w:val="single"/>
        </w:rPr>
        <w:t xml:space="preserve"> Large</w:t>
      </w:r>
      <w:proofErr w:type="gramEnd"/>
      <w:r w:rsidR="0052297B">
        <w:rPr>
          <w:rFonts w:cs="Arial"/>
          <w:bCs/>
          <w:u w:val="single"/>
        </w:rPr>
        <w:t xml:space="preserve"> Scale Incidence Response.</w:t>
      </w:r>
    </w:p>
    <w:p w:rsidR="00BF7871" w:rsidRDefault="00BF7871" w:rsidP="00B26510">
      <w:pPr>
        <w:ind w:left="720"/>
        <w:rPr>
          <w:rFonts w:cs="Arial"/>
          <w:bCs/>
          <w:u w:val="single"/>
        </w:rPr>
      </w:pPr>
    </w:p>
    <w:p w:rsidR="00BF7871" w:rsidRPr="00BF7871" w:rsidRDefault="00BF7871" w:rsidP="00B26510">
      <w:pPr>
        <w:ind w:left="720"/>
        <w:rPr>
          <w:rFonts w:cs="Arial"/>
          <w:b/>
          <w:bCs/>
          <w:u w:val="single"/>
        </w:rPr>
      </w:pPr>
      <w:r w:rsidRPr="00BF7871">
        <w:rPr>
          <w:rFonts w:cs="Arial"/>
          <w:b/>
          <w:bCs/>
          <w:u w:val="single"/>
        </w:rPr>
        <w:t>BREACH EXCEPTIONS</w:t>
      </w:r>
    </w:p>
    <w:p w:rsidR="00A44A02" w:rsidRDefault="00A44A02" w:rsidP="00B26510">
      <w:pPr>
        <w:pStyle w:val="Footer"/>
        <w:tabs>
          <w:tab w:val="left" w:pos="720"/>
        </w:tabs>
        <w:spacing w:before="0" w:beforeAutospacing="0" w:after="0" w:afterAutospacing="0"/>
        <w:ind w:left="720"/>
        <w:rPr>
          <w:rFonts w:cs="Arial"/>
          <w:bCs/>
          <w:szCs w:val="20"/>
          <w:u w:val="single"/>
        </w:rPr>
      </w:pPr>
    </w:p>
    <w:p w:rsidR="009670C8" w:rsidRPr="00A44A02" w:rsidRDefault="00BF7871" w:rsidP="00B26510">
      <w:pPr>
        <w:pStyle w:val="Footer"/>
        <w:tabs>
          <w:tab w:val="left" w:pos="720"/>
        </w:tabs>
        <w:spacing w:before="0" w:beforeAutospacing="0" w:after="0" w:afterAutospacing="0"/>
        <w:ind w:left="720"/>
        <w:rPr>
          <w:rFonts w:cs="Arial"/>
          <w:bCs/>
          <w:szCs w:val="20"/>
          <w:u w:val="single"/>
        </w:rPr>
      </w:pPr>
      <w:r>
        <w:rPr>
          <w:rFonts w:cs="Arial"/>
          <w:b/>
          <w:bCs/>
        </w:rPr>
        <w:t>E</w:t>
      </w:r>
      <w:r w:rsidR="009670C8">
        <w:rPr>
          <w:rFonts w:cs="Arial"/>
          <w:b/>
          <w:bCs/>
        </w:rPr>
        <w:t>xcepti</w:t>
      </w:r>
      <w:r>
        <w:rPr>
          <w:rFonts w:cs="Arial"/>
          <w:b/>
          <w:bCs/>
        </w:rPr>
        <w:t>on to the HIPAA definition of b</w:t>
      </w:r>
      <w:r w:rsidR="009F66C7">
        <w:rPr>
          <w:rFonts w:cs="Arial"/>
          <w:b/>
          <w:bCs/>
        </w:rPr>
        <w:t>reach i</w:t>
      </w:r>
      <w:r w:rsidR="009670C8">
        <w:rPr>
          <w:rFonts w:cs="Arial"/>
          <w:b/>
          <w:bCs/>
        </w:rPr>
        <w:t>n</w:t>
      </w:r>
      <w:r w:rsidR="003A1953">
        <w:rPr>
          <w:rFonts w:cs="Arial"/>
          <w:b/>
          <w:bCs/>
        </w:rPr>
        <w:t xml:space="preserve">cludes: </w:t>
      </w:r>
    </w:p>
    <w:p w:rsidR="009F66C7" w:rsidRPr="0052297B" w:rsidRDefault="009F66C7" w:rsidP="00B26510">
      <w:pPr>
        <w:numPr>
          <w:ilvl w:val="0"/>
          <w:numId w:val="1"/>
        </w:numPr>
        <w:rPr>
          <w:rFonts w:cs="Arial"/>
          <w:bCs/>
        </w:rPr>
      </w:pPr>
      <w:r w:rsidRPr="0052297B">
        <w:rPr>
          <w:rFonts w:cs="Arial"/>
          <w:bCs/>
        </w:rPr>
        <w:t>Any u</w:t>
      </w:r>
      <w:r w:rsidR="003A1953" w:rsidRPr="0052297B">
        <w:rPr>
          <w:rFonts w:cs="Arial"/>
          <w:bCs/>
        </w:rPr>
        <w:t xml:space="preserve">nintentional acquisition, access, or use of PHI, </w:t>
      </w:r>
      <w:r w:rsidRPr="0052297B">
        <w:rPr>
          <w:rFonts w:cs="Arial"/>
          <w:bCs/>
        </w:rPr>
        <w:t>by a workforce member or authorized person, made in good faith and within the scope of authority and if there is no further impermissible use or disclosure,</w:t>
      </w:r>
    </w:p>
    <w:p w:rsidR="009670C8" w:rsidRPr="0052297B" w:rsidRDefault="009F66C7" w:rsidP="00B26510">
      <w:pPr>
        <w:numPr>
          <w:ilvl w:val="0"/>
          <w:numId w:val="1"/>
        </w:numPr>
        <w:rPr>
          <w:rFonts w:cs="Arial"/>
          <w:bCs/>
        </w:rPr>
      </w:pPr>
      <w:r w:rsidRPr="0052297B">
        <w:rPr>
          <w:rFonts w:cs="Arial"/>
          <w:bCs/>
        </w:rPr>
        <w:t xml:space="preserve">Any inadvertent  disclosure of PHI </w:t>
      </w:r>
      <w:r w:rsidR="003A1953" w:rsidRPr="0052297B">
        <w:rPr>
          <w:rFonts w:cs="Arial"/>
          <w:bCs/>
        </w:rPr>
        <w:t xml:space="preserve">by a person authorized to access PHI </w:t>
      </w:r>
      <w:r w:rsidRPr="0052297B">
        <w:rPr>
          <w:rFonts w:cs="Arial"/>
          <w:bCs/>
        </w:rPr>
        <w:t>at a covered entity or business associate to another person authorized to access PHI at the same organization (or organized health care arrangement in which the covered entity participates) and the PHI is not further impermissibly used or disclosed and,</w:t>
      </w:r>
    </w:p>
    <w:p w:rsidR="003A1953" w:rsidRDefault="009F66C7" w:rsidP="00B26510">
      <w:pPr>
        <w:numPr>
          <w:ilvl w:val="0"/>
          <w:numId w:val="1"/>
        </w:numPr>
        <w:rPr>
          <w:rFonts w:cs="Arial"/>
          <w:bCs/>
        </w:rPr>
      </w:pPr>
      <w:r w:rsidRPr="0052297B">
        <w:rPr>
          <w:rFonts w:cs="Arial"/>
          <w:bCs/>
        </w:rPr>
        <w:t xml:space="preserve"> A </w:t>
      </w:r>
      <w:r w:rsidR="003A1953" w:rsidRPr="0052297B">
        <w:rPr>
          <w:rFonts w:cs="Arial"/>
          <w:bCs/>
        </w:rPr>
        <w:t xml:space="preserve">disclosure of PHI where the </w:t>
      </w:r>
      <w:r w:rsidR="00271484" w:rsidRPr="0052297B">
        <w:rPr>
          <w:rFonts w:cs="Arial"/>
          <w:bCs/>
        </w:rPr>
        <w:t>covered entity or business associate has a good faith belief that the unauthorize</w:t>
      </w:r>
      <w:r w:rsidR="00A44A02">
        <w:rPr>
          <w:rFonts w:cs="Arial"/>
          <w:bCs/>
        </w:rPr>
        <w:t>d recipient would not reasonably</w:t>
      </w:r>
      <w:r w:rsidR="00271484" w:rsidRPr="0052297B">
        <w:rPr>
          <w:rFonts w:cs="Arial"/>
          <w:bCs/>
        </w:rPr>
        <w:t xml:space="preserve"> have been able to retain the information. </w:t>
      </w:r>
    </w:p>
    <w:p w:rsidR="00BF7871" w:rsidRPr="00A44A02" w:rsidRDefault="00BF7871" w:rsidP="00B26510">
      <w:pPr>
        <w:numPr>
          <w:ilvl w:val="0"/>
          <w:numId w:val="1"/>
        </w:numPr>
        <w:rPr>
          <w:rFonts w:cs="Arial"/>
          <w:bCs/>
        </w:rPr>
      </w:pPr>
      <w:r>
        <w:rPr>
          <w:rFonts w:cs="Arial"/>
          <w:bCs/>
        </w:rPr>
        <w:t xml:space="preserve">An incident where the PHI was secured, i.e. encrypted (in motion or at rest) or rendered </w:t>
      </w:r>
      <w:proofErr w:type="gramStart"/>
      <w:r>
        <w:rPr>
          <w:rFonts w:cs="Arial"/>
          <w:bCs/>
        </w:rPr>
        <w:t>unreadable,</w:t>
      </w:r>
      <w:proofErr w:type="gramEnd"/>
      <w:r w:rsidR="00A44A02">
        <w:rPr>
          <w:rFonts w:cs="Arial"/>
          <w:bCs/>
        </w:rPr>
        <w:t xml:space="preserve"> </w:t>
      </w:r>
      <w:r w:rsidRPr="00A44A02">
        <w:rPr>
          <w:rFonts w:cs="Arial"/>
          <w:bCs/>
        </w:rPr>
        <w:t xml:space="preserve">i.e. shredded. </w:t>
      </w:r>
    </w:p>
    <w:p w:rsidR="00BF7871" w:rsidRDefault="00BF7871" w:rsidP="00B26510">
      <w:pPr>
        <w:ind w:left="2430"/>
        <w:rPr>
          <w:rFonts w:cs="Arial"/>
          <w:bCs/>
        </w:rPr>
      </w:pPr>
    </w:p>
    <w:p w:rsidR="00C00AA1" w:rsidRDefault="00BF7871" w:rsidP="00B26510">
      <w:pPr>
        <w:ind w:left="2430"/>
        <w:rPr>
          <w:rFonts w:cs="Arial"/>
          <w:bCs/>
        </w:rPr>
      </w:pPr>
      <w:r>
        <w:rPr>
          <w:rFonts w:cs="Arial"/>
          <w:bCs/>
        </w:rPr>
        <w:t xml:space="preserve">Note: </w:t>
      </w:r>
    </w:p>
    <w:p w:rsidR="00BF7871" w:rsidRDefault="00555CB7" w:rsidP="00B26510">
      <w:pPr>
        <w:numPr>
          <w:ilvl w:val="0"/>
          <w:numId w:val="11"/>
        </w:numPr>
        <w:rPr>
          <w:rFonts w:cs="Arial"/>
          <w:bCs/>
        </w:rPr>
      </w:pPr>
      <w:r>
        <w:rPr>
          <w:rFonts w:cs="Arial"/>
          <w:bCs/>
        </w:rPr>
        <w:t>D</w:t>
      </w:r>
      <w:r w:rsidR="00BF7871">
        <w:rPr>
          <w:rFonts w:cs="Arial"/>
          <w:bCs/>
        </w:rPr>
        <w:t>ate of birth and zip</w:t>
      </w:r>
      <w:r w:rsidR="00B26510">
        <w:rPr>
          <w:rFonts w:cs="Arial"/>
          <w:bCs/>
        </w:rPr>
        <w:t xml:space="preserve"> </w:t>
      </w:r>
      <w:r w:rsidR="00BF7871">
        <w:rPr>
          <w:rFonts w:cs="Arial"/>
          <w:bCs/>
        </w:rPr>
        <w:t xml:space="preserve">code are no longer included in the exceptions list for limited data set and are </w:t>
      </w:r>
      <w:r w:rsidR="00A44A02">
        <w:rPr>
          <w:rFonts w:cs="Arial"/>
          <w:bCs/>
        </w:rPr>
        <w:t xml:space="preserve">now </w:t>
      </w:r>
      <w:r w:rsidR="00BF7871">
        <w:rPr>
          <w:rFonts w:cs="Arial"/>
          <w:bCs/>
        </w:rPr>
        <w:t xml:space="preserve">considered PHI. </w:t>
      </w:r>
    </w:p>
    <w:p w:rsidR="00A44A02" w:rsidRPr="00A44A02" w:rsidRDefault="00C00AA1" w:rsidP="00B26510">
      <w:pPr>
        <w:numPr>
          <w:ilvl w:val="0"/>
          <w:numId w:val="11"/>
        </w:numPr>
        <w:autoSpaceDE w:val="0"/>
        <w:autoSpaceDN w:val="0"/>
        <w:adjustRightInd w:val="0"/>
      </w:pPr>
      <w:r>
        <w:rPr>
          <w:rFonts w:cs="Arial"/>
          <w:bCs/>
        </w:rPr>
        <w:t>Violation of HIPAA’s minimum necessary standard is now a reportable breach.</w:t>
      </w:r>
      <w:r w:rsidR="00555CB7">
        <w:rPr>
          <w:rFonts w:cs="Arial"/>
          <w:bCs/>
        </w:rPr>
        <w:t xml:space="preserve"> </w:t>
      </w:r>
      <w:r w:rsidR="00555CB7" w:rsidRPr="00555CB7">
        <w:t>Covered entities and business</w:t>
      </w:r>
      <w:r w:rsidR="00555CB7">
        <w:t xml:space="preserve"> </w:t>
      </w:r>
      <w:r w:rsidR="00555CB7" w:rsidRPr="00555CB7">
        <w:t xml:space="preserve">associates must make </w:t>
      </w:r>
      <w:r w:rsidR="00555CB7" w:rsidRPr="00555CB7">
        <w:rPr>
          <w:i/>
          <w:iCs/>
        </w:rPr>
        <w:t xml:space="preserve">reasonable efforts </w:t>
      </w:r>
      <w:r w:rsidR="00555CB7" w:rsidRPr="00555CB7">
        <w:t>to limit PHI to the minimum necessary</w:t>
      </w:r>
      <w:r w:rsidR="00A44A02">
        <w:t>.</w:t>
      </w:r>
      <w:r w:rsidRPr="00555CB7">
        <w:rPr>
          <w:bCs/>
        </w:rPr>
        <w:t xml:space="preserve"> However</w:t>
      </w:r>
      <w:r w:rsidRPr="00555CB7">
        <w:rPr>
          <w:rFonts w:cs="Arial"/>
          <w:bCs/>
        </w:rPr>
        <w:t>, of a request for PHI is received from another business associate, or covered entity</w:t>
      </w:r>
      <w:r w:rsidR="00A44A02">
        <w:rPr>
          <w:rFonts w:cs="Arial"/>
          <w:bCs/>
        </w:rPr>
        <w:t>,</w:t>
      </w:r>
      <w:r w:rsidRPr="00555CB7">
        <w:rPr>
          <w:rFonts w:cs="Arial"/>
          <w:bCs/>
        </w:rPr>
        <w:t xml:space="preserve"> since the request itself must be limited to the minimum necessary, Munson may reasonably r</w:t>
      </w:r>
      <w:r w:rsidR="00555CB7">
        <w:rPr>
          <w:rFonts w:cs="Arial"/>
          <w:bCs/>
        </w:rPr>
        <w:t>ely on the request as requestin</w:t>
      </w:r>
      <w:r w:rsidRPr="00555CB7">
        <w:rPr>
          <w:rFonts w:cs="Arial"/>
          <w:bCs/>
        </w:rPr>
        <w:t xml:space="preserve">g the minimum necessary for the disclosure. </w:t>
      </w:r>
    </w:p>
    <w:p w:rsidR="00C00AA1" w:rsidRPr="00C00AA1" w:rsidRDefault="00C00AA1" w:rsidP="00B26510">
      <w:pPr>
        <w:numPr>
          <w:ilvl w:val="0"/>
          <w:numId w:val="11"/>
        </w:numPr>
        <w:autoSpaceDE w:val="0"/>
        <w:autoSpaceDN w:val="0"/>
        <w:adjustRightInd w:val="0"/>
      </w:pPr>
      <w:r w:rsidRPr="00C00AA1">
        <w:t>T</w:t>
      </w:r>
      <w:r>
        <w:t>he</w:t>
      </w:r>
      <w:r w:rsidRPr="00C00AA1">
        <w:t xml:space="preserve"> exceptions to the minim</w:t>
      </w:r>
      <w:r>
        <w:t xml:space="preserve">um necessary standard have </w:t>
      </w:r>
      <w:r w:rsidRPr="00C00AA1">
        <w:t>not changed:</w:t>
      </w:r>
    </w:p>
    <w:p w:rsidR="00C00AA1" w:rsidRPr="00C00AA1" w:rsidRDefault="00C00AA1" w:rsidP="00B26510">
      <w:pPr>
        <w:autoSpaceDE w:val="0"/>
        <w:autoSpaceDN w:val="0"/>
        <w:adjustRightInd w:val="0"/>
      </w:pPr>
      <w:r>
        <w:tab/>
      </w:r>
      <w:r>
        <w:tab/>
      </w:r>
      <w:r>
        <w:tab/>
      </w:r>
      <w:r>
        <w:tab/>
      </w:r>
      <w:r>
        <w:tab/>
      </w:r>
      <w:r w:rsidRPr="00C00AA1">
        <w:t>Disclosures to or requests by a provider for treatment;</w:t>
      </w:r>
    </w:p>
    <w:p w:rsidR="00C00AA1" w:rsidRPr="00C00AA1" w:rsidRDefault="00C00AA1" w:rsidP="00B26510">
      <w:pPr>
        <w:autoSpaceDE w:val="0"/>
        <w:autoSpaceDN w:val="0"/>
        <w:adjustRightInd w:val="0"/>
      </w:pPr>
      <w:r>
        <w:tab/>
      </w:r>
      <w:r>
        <w:tab/>
      </w:r>
      <w:r>
        <w:tab/>
      </w:r>
      <w:r>
        <w:tab/>
      </w:r>
      <w:r>
        <w:tab/>
      </w:r>
      <w:r w:rsidRPr="00C00AA1">
        <w:t>Uses or disclosures made to an individual;</w:t>
      </w:r>
    </w:p>
    <w:p w:rsidR="00C00AA1" w:rsidRPr="00C00AA1" w:rsidRDefault="00C00AA1" w:rsidP="00B26510">
      <w:pPr>
        <w:autoSpaceDE w:val="0"/>
        <w:autoSpaceDN w:val="0"/>
        <w:adjustRightInd w:val="0"/>
      </w:pPr>
      <w:r>
        <w:tab/>
      </w:r>
      <w:r>
        <w:tab/>
      </w:r>
      <w:r>
        <w:tab/>
      </w:r>
      <w:r>
        <w:tab/>
      </w:r>
      <w:r>
        <w:tab/>
      </w:r>
      <w:r w:rsidRPr="00C00AA1">
        <w:t>Uses or disclosures made pursuant to an authorization;</w:t>
      </w:r>
    </w:p>
    <w:p w:rsidR="00C00AA1" w:rsidRPr="00C00AA1" w:rsidRDefault="00C00AA1" w:rsidP="00B26510">
      <w:pPr>
        <w:autoSpaceDE w:val="0"/>
        <w:autoSpaceDN w:val="0"/>
        <w:adjustRightInd w:val="0"/>
      </w:pPr>
      <w:r w:rsidRPr="00C00AA1">
        <w:t xml:space="preserve"> </w:t>
      </w:r>
      <w:r>
        <w:tab/>
      </w:r>
      <w:r>
        <w:tab/>
      </w:r>
      <w:r>
        <w:tab/>
      </w:r>
      <w:r>
        <w:tab/>
      </w:r>
      <w:r>
        <w:tab/>
      </w:r>
      <w:r w:rsidRPr="00C00AA1">
        <w:t>Disclosures made to the Secretary of the</w:t>
      </w:r>
      <w:r>
        <w:t xml:space="preserve"> Department of Health and Human </w:t>
      </w:r>
      <w:r w:rsidRPr="00C00AA1">
        <w:t>Services (HHS);</w:t>
      </w:r>
    </w:p>
    <w:p w:rsidR="00C00AA1" w:rsidRPr="00C00AA1" w:rsidRDefault="00C00AA1" w:rsidP="00B26510">
      <w:pPr>
        <w:autoSpaceDE w:val="0"/>
        <w:autoSpaceDN w:val="0"/>
        <w:adjustRightInd w:val="0"/>
      </w:pPr>
      <w:r>
        <w:tab/>
      </w:r>
      <w:r>
        <w:tab/>
      </w:r>
      <w:r>
        <w:tab/>
      </w:r>
      <w:r>
        <w:tab/>
      </w:r>
      <w:r>
        <w:tab/>
      </w:r>
      <w:r w:rsidRPr="00C00AA1">
        <w:t>Uses or disclosures that are required by law; and</w:t>
      </w:r>
    </w:p>
    <w:p w:rsidR="00BF7871" w:rsidRPr="00555CB7" w:rsidRDefault="00C00AA1" w:rsidP="00B26510">
      <w:pPr>
        <w:autoSpaceDE w:val="0"/>
        <w:autoSpaceDN w:val="0"/>
        <w:adjustRightInd w:val="0"/>
        <w:ind w:left="1440" w:hanging="1440"/>
      </w:pPr>
      <w:r>
        <w:tab/>
      </w:r>
      <w:r>
        <w:tab/>
      </w:r>
      <w:r>
        <w:tab/>
      </w:r>
      <w:r>
        <w:tab/>
      </w:r>
      <w:r w:rsidRPr="00C00AA1">
        <w:t>Uses and disclosures required for c</w:t>
      </w:r>
      <w:r>
        <w:t>ompliance with</w:t>
      </w:r>
      <w:r w:rsidRPr="00C00AA1">
        <w:t xml:space="preserve"> the privacy rule.</w:t>
      </w:r>
    </w:p>
    <w:p w:rsidR="00666506" w:rsidRPr="00C00AA1" w:rsidRDefault="00C00AA1" w:rsidP="00B26510">
      <w:pPr>
        <w:ind w:left="1422"/>
        <w:rPr>
          <w:rFonts w:cs="Arial"/>
          <w:bCs/>
        </w:rPr>
      </w:pPr>
      <w:r>
        <w:rPr>
          <w:rFonts w:cs="Arial"/>
          <w:bCs/>
        </w:rPr>
        <w:t> </w:t>
      </w:r>
    </w:p>
    <w:p w:rsidR="00666506" w:rsidRDefault="00666506" w:rsidP="00B26510">
      <w:pPr>
        <w:ind w:left="720"/>
        <w:rPr>
          <w:rFonts w:cs="Arial"/>
          <w:b/>
          <w:szCs w:val="28"/>
          <w:u w:val="single"/>
        </w:rPr>
      </w:pPr>
      <w:r>
        <w:rPr>
          <w:rFonts w:cs="Arial"/>
          <w:b/>
          <w:u w:val="single"/>
        </w:rPr>
        <w:t>IMPLEMENTING</w:t>
      </w:r>
      <w:r>
        <w:rPr>
          <w:rFonts w:cs="Arial"/>
          <w:b/>
          <w:szCs w:val="28"/>
          <w:u w:val="single"/>
        </w:rPr>
        <w:t xml:space="preserve"> PROCEDURE</w:t>
      </w:r>
    </w:p>
    <w:p w:rsidR="00666506" w:rsidRDefault="00666506" w:rsidP="00B26510">
      <w:pPr>
        <w:ind w:left="720"/>
        <w:rPr>
          <w:rFonts w:cs="Arial"/>
          <w:b/>
          <w:szCs w:val="28"/>
          <w:u w:val="single"/>
        </w:rPr>
      </w:pPr>
    </w:p>
    <w:p w:rsidR="00666506" w:rsidRDefault="00666506" w:rsidP="00B26510">
      <w:pPr>
        <w:ind w:left="1422"/>
        <w:rPr>
          <w:rFonts w:cs="Arial"/>
          <w:b/>
          <w:szCs w:val="28"/>
        </w:rPr>
      </w:pPr>
      <w:r>
        <w:rPr>
          <w:rFonts w:cs="Arial"/>
          <w:b/>
        </w:rPr>
        <w:t>Organization</w:t>
      </w:r>
      <w:r>
        <w:rPr>
          <w:rFonts w:cs="Arial"/>
          <w:b/>
          <w:szCs w:val="28"/>
        </w:rPr>
        <w:t>al Structure for Incident Management</w:t>
      </w:r>
    </w:p>
    <w:p w:rsidR="00577007" w:rsidRDefault="00577007" w:rsidP="00B26510">
      <w:pPr>
        <w:ind w:left="2142"/>
        <w:rPr>
          <w:rFonts w:cs="Arial"/>
          <w:bCs/>
          <w:szCs w:val="28"/>
        </w:rPr>
      </w:pPr>
      <w:r>
        <w:rPr>
          <w:rFonts w:cs="Arial"/>
          <w:bCs/>
          <w:szCs w:val="28"/>
        </w:rPr>
        <w:t>1) For breaches affecting less that twenty-five individuals, t</w:t>
      </w:r>
      <w:r w:rsidR="00666506">
        <w:rPr>
          <w:rFonts w:cs="Arial"/>
          <w:bCs/>
          <w:szCs w:val="28"/>
        </w:rPr>
        <w:t xml:space="preserve">he Privacy Officer </w:t>
      </w:r>
      <w:r w:rsidR="00C05666">
        <w:rPr>
          <w:rFonts w:cs="Arial"/>
          <w:bCs/>
          <w:szCs w:val="28"/>
        </w:rPr>
        <w:t xml:space="preserve">may seek risk assessment </w:t>
      </w:r>
      <w:r w:rsidR="00EF0AC9">
        <w:rPr>
          <w:rFonts w:cs="Arial"/>
          <w:bCs/>
          <w:szCs w:val="28"/>
        </w:rPr>
        <w:t>con</w:t>
      </w:r>
      <w:r w:rsidR="00C05666">
        <w:rPr>
          <w:rFonts w:cs="Arial"/>
          <w:bCs/>
          <w:szCs w:val="28"/>
        </w:rPr>
        <w:t xml:space="preserve">sultation from a risk assessment team comprised of </w:t>
      </w:r>
      <w:r w:rsidR="00A44A02">
        <w:rPr>
          <w:rFonts w:cs="Arial"/>
          <w:bCs/>
          <w:szCs w:val="28"/>
        </w:rPr>
        <w:t>the audit team</w:t>
      </w:r>
      <w:r w:rsidR="00C05666">
        <w:rPr>
          <w:rFonts w:cs="Arial"/>
          <w:bCs/>
          <w:szCs w:val="28"/>
        </w:rPr>
        <w:t xml:space="preserve">, Security Officer, </w:t>
      </w:r>
      <w:r w:rsidR="00EF0AC9">
        <w:rPr>
          <w:rFonts w:cs="Arial"/>
          <w:bCs/>
          <w:szCs w:val="28"/>
        </w:rPr>
        <w:t>Risk Management and</w:t>
      </w:r>
      <w:r>
        <w:rPr>
          <w:rFonts w:cs="Arial"/>
          <w:bCs/>
          <w:szCs w:val="28"/>
        </w:rPr>
        <w:t>/or</w:t>
      </w:r>
      <w:r w:rsidR="00C05666">
        <w:rPr>
          <w:rFonts w:cs="Arial"/>
          <w:bCs/>
          <w:szCs w:val="28"/>
        </w:rPr>
        <w:t xml:space="preserve"> </w:t>
      </w:r>
      <w:r w:rsidR="00A44A02">
        <w:rPr>
          <w:rFonts w:cs="Arial"/>
          <w:bCs/>
          <w:szCs w:val="28"/>
        </w:rPr>
        <w:t xml:space="preserve">Legal Counsel; in simple cases, the Privacy Officer may investigate and draw conclusions independently. </w:t>
      </w:r>
      <w:r w:rsidR="00EF0AC9">
        <w:rPr>
          <w:rFonts w:cs="Arial"/>
          <w:bCs/>
          <w:szCs w:val="28"/>
        </w:rPr>
        <w:t xml:space="preserve"> </w:t>
      </w:r>
    </w:p>
    <w:p w:rsidR="00577007" w:rsidRDefault="00577007" w:rsidP="00B26510">
      <w:pPr>
        <w:ind w:left="2142"/>
        <w:rPr>
          <w:rFonts w:cs="Arial"/>
          <w:bCs/>
          <w:szCs w:val="28"/>
        </w:rPr>
      </w:pPr>
      <w:r>
        <w:rPr>
          <w:rFonts w:cs="Arial"/>
          <w:bCs/>
          <w:szCs w:val="28"/>
        </w:rPr>
        <w:t>2) For breaches affecting more than twenty-five individuals, including large scale breaches affecting over 500 individuals, the P</w:t>
      </w:r>
      <w:r w:rsidR="00555CB7">
        <w:rPr>
          <w:rFonts w:cs="Arial"/>
          <w:bCs/>
          <w:szCs w:val="28"/>
        </w:rPr>
        <w:t>rivacy Office will convene the large s</w:t>
      </w:r>
      <w:r>
        <w:rPr>
          <w:rFonts w:cs="Arial"/>
          <w:bCs/>
          <w:szCs w:val="28"/>
        </w:rPr>
        <w:t xml:space="preserve">cale Incident Response </w:t>
      </w:r>
      <w:r w:rsidR="00555CB7">
        <w:rPr>
          <w:rFonts w:cs="Arial"/>
          <w:bCs/>
          <w:szCs w:val="28"/>
        </w:rPr>
        <w:t>T</w:t>
      </w:r>
      <w:r>
        <w:rPr>
          <w:rFonts w:cs="Arial"/>
          <w:bCs/>
          <w:szCs w:val="28"/>
        </w:rPr>
        <w:t>eam comprise</w:t>
      </w:r>
      <w:r w:rsidR="00555CB7">
        <w:rPr>
          <w:rFonts w:cs="Arial"/>
          <w:bCs/>
          <w:szCs w:val="28"/>
        </w:rPr>
        <w:t>d of Information S</w:t>
      </w:r>
      <w:r>
        <w:rPr>
          <w:rFonts w:cs="Arial"/>
          <w:bCs/>
          <w:szCs w:val="28"/>
        </w:rPr>
        <w:t xml:space="preserve">ystems, Human Resources, Corporate Compliance, Corporate Communications, Security, and Legal Counsel. </w:t>
      </w:r>
    </w:p>
    <w:p w:rsidR="00577007" w:rsidRDefault="00577007" w:rsidP="00B26510">
      <w:pPr>
        <w:ind w:left="2142"/>
        <w:rPr>
          <w:rFonts w:cs="Arial"/>
          <w:bCs/>
          <w:szCs w:val="28"/>
        </w:rPr>
      </w:pPr>
    </w:p>
    <w:p w:rsidR="00A44A02" w:rsidRDefault="00577007" w:rsidP="00B26510">
      <w:pPr>
        <w:pStyle w:val="BodyTextIndent"/>
        <w:spacing w:before="0" w:beforeAutospacing="0" w:after="0" w:afterAutospacing="0"/>
        <w:ind w:left="2880"/>
        <w:rPr>
          <w:bCs/>
        </w:rPr>
      </w:pPr>
      <w:r>
        <w:rPr>
          <w:bCs/>
        </w:rPr>
        <w:t>R</w:t>
      </w:r>
      <w:r w:rsidR="00DB3234">
        <w:rPr>
          <w:bCs/>
        </w:rPr>
        <w:t xml:space="preserve">epresentatives </w:t>
      </w:r>
      <w:r>
        <w:rPr>
          <w:bCs/>
        </w:rPr>
        <w:t xml:space="preserve">from the risk assessment team </w:t>
      </w:r>
      <w:r w:rsidR="00A44A02">
        <w:rPr>
          <w:bCs/>
        </w:rPr>
        <w:t xml:space="preserve">and/or the Privacy Officer </w:t>
      </w:r>
      <w:r>
        <w:rPr>
          <w:bCs/>
        </w:rPr>
        <w:t xml:space="preserve">will determine </w:t>
      </w:r>
      <w:r w:rsidR="009F66C7">
        <w:rPr>
          <w:bCs/>
        </w:rPr>
        <w:t>pro</w:t>
      </w:r>
      <w:r w:rsidR="00555CB7">
        <w:rPr>
          <w:bCs/>
        </w:rPr>
        <w:t>ba</w:t>
      </w:r>
      <w:r w:rsidR="00A44A02">
        <w:rPr>
          <w:bCs/>
        </w:rPr>
        <w:t>bility of risk of harm to PHI.</w:t>
      </w:r>
    </w:p>
    <w:p w:rsidR="00666506" w:rsidRDefault="00A44A02" w:rsidP="00B26510">
      <w:pPr>
        <w:pStyle w:val="BodyTextIndent"/>
        <w:spacing w:before="0" w:beforeAutospacing="0" w:after="0" w:afterAutospacing="0"/>
        <w:ind w:left="2880"/>
        <w:rPr>
          <w:bCs/>
        </w:rPr>
      </w:pPr>
      <w:r>
        <w:rPr>
          <w:bCs/>
        </w:rPr>
        <w:t>M</w:t>
      </w:r>
      <w:r w:rsidR="00555CB7">
        <w:rPr>
          <w:bCs/>
        </w:rPr>
        <w:t>inimally, the following factors will be</w:t>
      </w:r>
      <w:r>
        <w:rPr>
          <w:bCs/>
        </w:rPr>
        <w:t xml:space="preserve"> asked and answered</w:t>
      </w:r>
      <w:r w:rsidR="009F66C7">
        <w:rPr>
          <w:bCs/>
        </w:rPr>
        <w:t>:</w:t>
      </w:r>
    </w:p>
    <w:p w:rsidR="009F66C7" w:rsidRDefault="009F66C7" w:rsidP="00B26510">
      <w:pPr>
        <w:pStyle w:val="BodyTextIndent"/>
        <w:numPr>
          <w:ilvl w:val="0"/>
          <w:numId w:val="2"/>
        </w:numPr>
        <w:spacing w:before="0" w:beforeAutospacing="0" w:after="0" w:afterAutospacing="0"/>
        <w:rPr>
          <w:bCs/>
        </w:rPr>
      </w:pPr>
      <w:r>
        <w:rPr>
          <w:bCs/>
        </w:rPr>
        <w:t>Whether the acquisition, access use or disclosure of the PHI violates the HIPAA Privacy Rule,</w:t>
      </w:r>
    </w:p>
    <w:p w:rsidR="009F66C7" w:rsidRDefault="009F66C7" w:rsidP="00B26510">
      <w:pPr>
        <w:pStyle w:val="BodyTextIndent"/>
        <w:numPr>
          <w:ilvl w:val="0"/>
          <w:numId w:val="2"/>
        </w:numPr>
        <w:spacing w:before="0" w:beforeAutospacing="0" w:after="0" w:afterAutospacing="0"/>
        <w:rPr>
          <w:bCs/>
        </w:rPr>
      </w:pPr>
      <w:r>
        <w:rPr>
          <w:bCs/>
        </w:rPr>
        <w:t>Whether the PHI involved was “unsecured,”  (usable, unreadable or indecipherable/encrypted)</w:t>
      </w:r>
    </w:p>
    <w:p w:rsidR="009F66C7" w:rsidRDefault="009F66C7" w:rsidP="00B26510">
      <w:pPr>
        <w:pStyle w:val="BodyTextIndent"/>
        <w:numPr>
          <w:ilvl w:val="0"/>
          <w:numId w:val="2"/>
        </w:numPr>
        <w:spacing w:before="0" w:beforeAutospacing="0" w:after="0" w:afterAutospacing="0"/>
        <w:rPr>
          <w:bCs/>
        </w:rPr>
      </w:pPr>
      <w:r>
        <w:rPr>
          <w:bCs/>
        </w:rPr>
        <w:t>Whether an exception to the definition of breach may apply, and</w:t>
      </w:r>
    </w:p>
    <w:p w:rsidR="009F66C7" w:rsidRDefault="009F66C7" w:rsidP="00B26510">
      <w:pPr>
        <w:pStyle w:val="BodyTextIndent"/>
        <w:numPr>
          <w:ilvl w:val="0"/>
          <w:numId w:val="2"/>
        </w:numPr>
        <w:spacing w:before="0" w:beforeAutospacing="0" w:after="0" w:afterAutospacing="0"/>
        <w:rPr>
          <w:bCs/>
        </w:rPr>
      </w:pPr>
      <w:r>
        <w:rPr>
          <w:bCs/>
        </w:rPr>
        <w:t>Whether there was a low probability that the PHI has been compromised.</w:t>
      </w:r>
    </w:p>
    <w:p w:rsidR="00271484" w:rsidRDefault="00271484" w:rsidP="00B26510">
      <w:pPr>
        <w:pStyle w:val="BodyTextIndent"/>
        <w:spacing w:before="0" w:beforeAutospacing="0" w:after="0" w:afterAutospacing="0"/>
        <w:ind w:left="540"/>
        <w:rPr>
          <w:bCs/>
        </w:rPr>
      </w:pPr>
    </w:p>
    <w:p w:rsidR="00271484" w:rsidRDefault="00271484" w:rsidP="00B26510">
      <w:pPr>
        <w:pStyle w:val="BodyTextIndent"/>
        <w:spacing w:before="0" w:beforeAutospacing="0" w:after="0" w:afterAutospacing="0"/>
        <w:ind w:left="2880"/>
        <w:rPr>
          <w:bCs/>
        </w:rPr>
      </w:pPr>
      <w:r>
        <w:rPr>
          <w:bCs/>
        </w:rPr>
        <w:t xml:space="preserve">A </w:t>
      </w:r>
      <w:r w:rsidR="000659C2">
        <w:rPr>
          <w:bCs/>
        </w:rPr>
        <w:t>risk a</w:t>
      </w:r>
      <w:r w:rsidRPr="000659C2">
        <w:rPr>
          <w:bCs/>
        </w:rPr>
        <w:t>ssessment</w:t>
      </w:r>
      <w:r>
        <w:rPr>
          <w:bCs/>
        </w:rPr>
        <w:t xml:space="preserve"> to determine whether there is a low probability that the PHI has been compromised must include consi</w:t>
      </w:r>
      <w:r w:rsidR="00A44A02">
        <w:rPr>
          <w:bCs/>
        </w:rPr>
        <w:t xml:space="preserve">deration of the following four </w:t>
      </w:r>
      <w:r>
        <w:rPr>
          <w:bCs/>
        </w:rPr>
        <w:t xml:space="preserve">factors: </w:t>
      </w:r>
    </w:p>
    <w:p w:rsidR="008F72FD" w:rsidRDefault="00271484" w:rsidP="00B26510">
      <w:pPr>
        <w:pStyle w:val="BodyTextIndent"/>
        <w:numPr>
          <w:ilvl w:val="0"/>
          <w:numId w:val="4"/>
        </w:numPr>
        <w:spacing w:before="0" w:beforeAutospacing="0" w:after="0" w:afterAutospacing="0"/>
        <w:rPr>
          <w:bCs/>
        </w:rPr>
      </w:pPr>
      <w:r>
        <w:rPr>
          <w:bCs/>
        </w:rPr>
        <w:t xml:space="preserve">The nature and extent of the PHI involved, including the types of identifies and the </w:t>
      </w:r>
      <w:r w:rsidR="00050CEE">
        <w:rPr>
          <w:bCs/>
        </w:rPr>
        <w:t xml:space="preserve">likelihood of re-identification. </w:t>
      </w:r>
    </w:p>
    <w:p w:rsidR="00271484" w:rsidRDefault="00271484" w:rsidP="00B26510">
      <w:pPr>
        <w:pStyle w:val="BodyTextIndent"/>
        <w:numPr>
          <w:ilvl w:val="0"/>
          <w:numId w:val="4"/>
        </w:numPr>
        <w:spacing w:before="0" w:beforeAutospacing="0" w:after="0" w:afterAutospacing="0"/>
        <w:rPr>
          <w:bCs/>
        </w:rPr>
      </w:pPr>
      <w:r>
        <w:rPr>
          <w:bCs/>
        </w:rPr>
        <w:t xml:space="preserve">The unauthorized person who used the PHI or to whom the disclosure was mad,   </w:t>
      </w:r>
    </w:p>
    <w:p w:rsidR="00271484" w:rsidRDefault="00271484" w:rsidP="00B26510">
      <w:pPr>
        <w:pStyle w:val="BodyTextIndent"/>
        <w:numPr>
          <w:ilvl w:val="0"/>
          <w:numId w:val="4"/>
        </w:numPr>
        <w:spacing w:before="0" w:beforeAutospacing="0" w:after="0" w:afterAutospacing="0"/>
        <w:rPr>
          <w:bCs/>
        </w:rPr>
      </w:pPr>
      <w:r>
        <w:rPr>
          <w:bCs/>
        </w:rPr>
        <w:t>Whether the PHI was actually acquired or viewed, and</w:t>
      </w:r>
    </w:p>
    <w:p w:rsidR="0052297B" w:rsidRDefault="00271484" w:rsidP="00B26510">
      <w:pPr>
        <w:pStyle w:val="BodyTextIndent"/>
        <w:numPr>
          <w:ilvl w:val="0"/>
          <w:numId w:val="4"/>
        </w:numPr>
        <w:spacing w:before="0" w:beforeAutospacing="0" w:after="0" w:afterAutospacing="0"/>
        <w:rPr>
          <w:bCs/>
        </w:rPr>
      </w:pPr>
      <w:r>
        <w:rPr>
          <w:bCs/>
        </w:rPr>
        <w:t xml:space="preserve">The extent to which the risk to the PHI has been mitigated.  </w:t>
      </w:r>
    </w:p>
    <w:p w:rsidR="00271484" w:rsidRDefault="00271484" w:rsidP="00B26510">
      <w:pPr>
        <w:pStyle w:val="BodyTextIndent"/>
        <w:spacing w:before="0" w:beforeAutospacing="0" w:after="0" w:afterAutospacing="0"/>
        <w:ind w:left="3960"/>
        <w:rPr>
          <w:bCs/>
        </w:rPr>
      </w:pPr>
      <w:r>
        <w:rPr>
          <w:bCs/>
        </w:rPr>
        <w:t xml:space="preserve">         </w:t>
      </w:r>
    </w:p>
    <w:p w:rsidR="0052297B" w:rsidRDefault="00577007" w:rsidP="00B26510">
      <w:pPr>
        <w:pStyle w:val="BodyTextIndent"/>
        <w:spacing w:before="0" w:beforeAutospacing="0" w:after="0" w:afterAutospacing="0"/>
        <w:ind w:left="1140"/>
        <w:rPr>
          <w:bCs/>
        </w:rPr>
      </w:pPr>
      <w:r>
        <w:rPr>
          <w:bCs/>
        </w:rPr>
        <w:t>The risk assessment t</w:t>
      </w:r>
      <w:r w:rsidR="0052297B">
        <w:rPr>
          <w:bCs/>
        </w:rPr>
        <w:t xml:space="preserve">eam </w:t>
      </w:r>
      <w:r w:rsidR="00A44A02">
        <w:rPr>
          <w:bCs/>
        </w:rPr>
        <w:t xml:space="preserve">and/or Privacy Officer </w:t>
      </w:r>
      <w:r w:rsidR="0052297B">
        <w:rPr>
          <w:bCs/>
        </w:rPr>
        <w:t xml:space="preserve">will work toward </w:t>
      </w:r>
      <w:r w:rsidR="000659C2">
        <w:rPr>
          <w:b/>
          <w:bCs/>
        </w:rPr>
        <w:t>remediation and prevention of reoccurrence on b</w:t>
      </w:r>
      <w:r w:rsidR="0052297B" w:rsidRPr="0052297B">
        <w:rPr>
          <w:b/>
          <w:bCs/>
        </w:rPr>
        <w:t>reach</w:t>
      </w:r>
      <w:r w:rsidR="0052297B">
        <w:rPr>
          <w:b/>
          <w:bCs/>
        </w:rPr>
        <w:t xml:space="preserve">. </w:t>
      </w:r>
      <w:r w:rsidR="000659C2">
        <w:rPr>
          <w:bCs/>
        </w:rPr>
        <w:t>Numerous steps may</w:t>
      </w:r>
      <w:r>
        <w:rPr>
          <w:bCs/>
        </w:rPr>
        <w:t xml:space="preserve"> be used to remediate </w:t>
      </w:r>
      <w:r w:rsidR="0052297B">
        <w:rPr>
          <w:bCs/>
        </w:rPr>
        <w:t>the effects of the breach, such as:</w:t>
      </w:r>
    </w:p>
    <w:p w:rsidR="0052297B" w:rsidRDefault="0052297B" w:rsidP="00B26510">
      <w:pPr>
        <w:pStyle w:val="BodyTextIndent"/>
        <w:numPr>
          <w:ilvl w:val="0"/>
          <w:numId w:val="5"/>
        </w:numPr>
        <w:spacing w:before="0" w:beforeAutospacing="0" w:after="0" w:afterAutospacing="0"/>
        <w:rPr>
          <w:bCs/>
        </w:rPr>
      </w:pPr>
      <w:r>
        <w:rPr>
          <w:bCs/>
        </w:rPr>
        <w:t>Offering credit monitoring to the affected individuals in the event that Social Security number or financial account data are involved in the breach,</w:t>
      </w:r>
    </w:p>
    <w:p w:rsidR="0052297B" w:rsidRDefault="0052297B" w:rsidP="00B26510">
      <w:pPr>
        <w:pStyle w:val="BodyTextIndent"/>
        <w:numPr>
          <w:ilvl w:val="0"/>
          <w:numId w:val="5"/>
        </w:numPr>
        <w:spacing w:before="0" w:beforeAutospacing="0" w:after="0" w:afterAutospacing="0"/>
        <w:rPr>
          <w:bCs/>
        </w:rPr>
      </w:pPr>
      <w:r>
        <w:rPr>
          <w:bCs/>
        </w:rPr>
        <w:t>Setting up a call center to address questions of affected individuals regarding the breach,</w:t>
      </w:r>
    </w:p>
    <w:p w:rsidR="0052297B" w:rsidRDefault="0052297B" w:rsidP="00B26510">
      <w:pPr>
        <w:pStyle w:val="BodyTextIndent"/>
        <w:numPr>
          <w:ilvl w:val="0"/>
          <w:numId w:val="5"/>
        </w:numPr>
        <w:spacing w:before="0" w:beforeAutospacing="0" w:after="0" w:afterAutospacing="0"/>
        <w:rPr>
          <w:bCs/>
        </w:rPr>
      </w:pPr>
      <w:r>
        <w:rPr>
          <w:bCs/>
        </w:rPr>
        <w:t>Improving existing policies or procedures,</w:t>
      </w:r>
    </w:p>
    <w:p w:rsidR="0052297B" w:rsidRDefault="0052297B" w:rsidP="00B26510">
      <w:pPr>
        <w:pStyle w:val="BodyTextIndent"/>
        <w:numPr>
          <w:ilvl w:val="0"/>
          <w:numId w:val="5"/>
        </w:numPr>
        <w:spacing w:before="0" w:beforeAutospacing="0" w:after="0" w:afterAutospacing="0"/>
        <w:rPr>
          <w:bCs/>
        </w:rPr>
      </w:pPr>
      <w:r>
        <w:rPr>
          <w:bCs/>
        </w:rPr>
        <w:t>Additional training of workforce members on how safeguard PHI,</w:t>
      </w:r>
    </w:p>
    <w:p w:rsidR="0052297B" w:rsidRDefault="009C780F" w:rsidP="00B26510">
      <w:pPr>
        <w:pStyle w:val="BodyTextIndent"/>
        <w:numPr>
          <w:ilvl w:val="0"/>
          <w:numId w:val="5"/>
        </w:numPr>
        <w:spacing w:before="0" w:beforeAutospacing="0" w:after="0" w:afterAutospacing="0"/>
        <w:rPr>
          <w:bCs/>
        </w:rPr>
      </w:pPr>
      <w:r>
        <w:rPr>
          <w:bCs/>
        </w:rPr>
        <w:t>Encrypting portable media that contains PHI,</w:t>
      </w:r>
    </w:p>
    <w:p w:rsidR="009C780F" w:rsidRDefault="009C780F" w:rsidP="00B26510">
      <w:pPr>
        <w:pStyle w:val="BodyTextIndent"/>
        <w:numPr>
          <w:ilvl w:val="0"/>
          <w:numId w:val="5"/>
        </w:numPr>
        <w:spacing w:before="0" w:beforeAutospacing="0" w:after="0" w:afterAutospacing="0"/>
        <w:rPr>
          <w:bCs/>
        </w:rPr>
      </w:pPr>
      <w:r>
        <w:rPr>
          <w:bCs/>
        </w:rPr>
        <w:t>Requiring employees to change their passwords,</w:t>
      </w:r>
    </w:p>
    <w:p w:rsidR="009C780F" w:rsidRDefault="009C780F" w:rsidP="00B26510">
      <w:pPr>
        <w:pStyle w:val="BodyTextIndent"/>
        <w:numPr>
          <w:ilvl w:val="0"/>
          <w:numId w:val="5"/>
        </w:numPr>
        <w:spacing w:before="0" w:beforeAutospacing="0" w:after="0" w:afterAutospacing="0"/>
        <w:rPr>
          <w:bCs/>
        </w:rPr>
      </w:pPr>
      <w:r>
        <w:rPr>
          <w:bCs/>
        </w:rPr>
        <w:t>Increasing physical security through the use of biometric locks or other devices</w:t>
      </w:r>
    </w:p>
    <w:p w:rsidR="009C780F" w:rsidRDefault="009C780F" w:rsidP="00B26510">
      <w:pPr>
        <w:pStyle w:val="BodyTextIndent"/>
        <w:numPr>
          <w:ilvl w:val="0"/>
          <w:numId w:val="5"/>
        </w:numPr>
        <w:spacing w:before="0" w:beforeAutospacing="0" w:after="0" w:afterAutospacing="0"/>
        <w:rPr>
          <w:bCs/>
        </w:rPr>
      </w:pPr>
      <w:r>
        <w:rPr>
          <w:bCs/>
        </w:rPr>
        <w:t>Sanctions to employee who violated breach policy, ranging from re-education to written warning, to termination.</w:t>
      </w:r>
    </w:p>
    <w:p w:rsidR="009C780F" w:rsidRDefault="009C780F" w:rsidP="00B26510">
      <w:pPr>
        <w:pStyle w:val="BodyTextIndent"/>
        <w:numPr>
          <w:ilvl w:val="0"/>
          <w:numId w:val="5"/>
        </w:numPr>
        <w:spacing w:before="0" w:beforeAutospacing="0" w:after="0" w:afterAutospacing="0"/>
        <w:rPr>
          <w:bCs/>
        </w:rPr>
      </w:pPr>
      <w:r>
        <w:rPr>
          <w:bCs/>
        </w:rPr>
        <w:t xml:space="preserve">And in particular, identifying any gaps in compliance that led to the breach and closing those gaps to ensure that another similar breach will not occur. </w:t>
      </w:r>
    </w:p>
    <w:p w:rsidR="009C780F" w:rsidRPr="0052297B" w:rsidRDefault="009C780F" w:rsidP="00B26510">
      <w:pPr>
        <w:pStyle w:val="BodyTextIndent"/>
        <w:spacing w:before="0" w:beforeAutospacing="0" w:after="0" w:afterAutospacing="0"/>
        <w:ind w:left="3960"/>
        <w:rPr>
          <w:bCs/>
        </w:rPr>
      </w:pPr>
    </w:p>
    <w:p w:rsidR="00666506" w:rsidRPr="009F66C7" w:rsidRDefault="009F66C7" w:rsidP="00B26510">
      <w:pPr>
        <w:pStyle w:val="BodyTextIndent"/>
        <w:spacing w:before="0" w:beforeAutospacing="0" w:after="0" w:afterAutospacing="0"/>
        <w:rPr>
          <w:bCs/>
        </w:rPr>
      </w:pPr>
      <w:r>
        <w:rPr>
          <w:bCs/>
        </w:rPr>
        <w:t xml:space="preserve">       </w:t>
      </w:r>
      <w:r w:rsidR="009C780F">
        <w:rPr>
          <w:bCs/>
        </w:rPr>
        <w:t xml:space="preserve"> </w:t>
      </w:r>
    </w:p>
    <w:p w:rsidR="000659C2" w:rsidRDefault="00BE3A1D" w:rsidP="00B26510">
      <w:pPr>
        <w:ind w:left="2142"/>
        <w:rPr>
          <w:rFonts w:cs="Arial"/>
          <w:bCs/>
          <w:szCs w:val="28"/>
        </w:rPr>
      </w:pPr>
      <w:r>
        <w:rPr>
          <w:rFonts w:cs="Arial"/>
          <w:bCs/>
        </w:rPr>
        <w:t>The Privacy Officer notifies employee’s manager after learning about a breach</w:t>
      </w:r>
      <w:r w:rsidR="00A44A02">
        <w:rPr>
          <w:rFonts w:cs="Arial"/>
          <w:bCs/>
        </w:rPr>
        <w:t xml:space="preserve">, for their help in coordinating </w:t>
      </w:r>
      <w:r>
        <w:rPr>
          <w:rFonts w:cs="Arial"/>
          <w:bCs/>
        </w:rPr>
        <w:t>efforts in the investigation</w:t>
      </w:r>
      <w:r w:rsidR="000659C2">
        <w:rPr>
          <w:rFonts w:cs="Arial"/>
          <w:bCs/>
        </w:rPr>
        <w:t>.</w:t>
      </w:r>
      <w:r w:rsidR="000659C2" w:rsidRPr="000659C2">
        <w:rPr>
          <w:rFonts w:cs="Arial"/>
          <w:bCs/>
          <w:szCs w:val="28"/>
        </w:rPr>
        <w:t xml:space="preserve"> </w:t>
      </w:r>
      <w:r w:rsidR="000659C2">
        <w:rPr>
          <w:rFonts w:cs="Arial"/>
          <w:bCs/>
          <w:szCs w:val="28"/>
        </w:rPr>
        <w:t>All breaches attributable to Munson employees are reported to Human Resources and the employee’s manager. If a physician is suspected of a breach, the Privacy Officer coordinates the investigation with the Medical Director of Information Systems.</w:t>
      </w:r>
      <w:r w:rsidR="000659C2" w:rsidRPr="00577007">
        <w:rPr>
          <w:rFonts w:cs="Arial"/>
          <w:bCs/>
          <w:szCs w:val="28"/>
        </w:rPr>
        <w:t xml:space="preserve"> </w:t>
      </w:r>
      <w:r w:rsidR="000659C2">
        <w:rPr>
          <w:rFonts w:cs="Arial"/>
          <w:bCs/>
          <w:szCs w:val="28"/>
        </w:rPr>
        <w:t xml:space="preserve">Munson’s Privacy Office receives reports of, investigates, audits, documents and reports on suspected or actual violations of privacy and security policies and procedures.  </w:t>
      </w:r>
      <w:r w:rsidR="00DB3234">
        <w:rPr>
          <w:rFonts w:cs="Arial"/>
          <w:bCs/>
          <w:szCs w:val="28"/>
        </w:rPr>
        <w:t>The Privacy Office documents</w:t>
      </w:r>
      <w:r w:rsidR="00CC60F2">
        <w:rPr>
          <w:rFonts w:cs="Arial"/>
          <w:bCs/>
          <w:szCs w:val="28"/>
        </w:rPr>
        <w:t xml:space="preserve"> and retains</w:t>
      </w:r>
      <w:r w:rsidR="00666506">
        <w:rPr>
          <w:rFonts w:cs="Arial"/>
          <w:bCs/>
          <w:szCs w:val="28"/>
        </w:rPr>
        <w:t xml:space="preserve"> information about both privacy and security incidents and their investigati</w:t>
      </w:r>
      <w:r>
        <w:rPr>
          <w:rFonts w:cs="Arial"/>
          <w:bCs/>
          <w:szCs w:val="28"/>
        </w:rPr>
        <w:t>on results, including the risk a</w:t>
      </w:r>
      <w:r w:rsidR="009C780F">
        <w:rPr>
          <w:rFonts w:cs="Arial"/>
          <w:bCs/>
          <w:szCs w:val="28"/>
        </w:rPr>
        <w:t>ssessment process and results, breach no</w:t>
      </w:r>
      <w:r w:rsidR="008D3FFC">
        <w:rPr>
          <w:rFonts w:cs="Arial"/>
          <w:bCs/>
          <w:szCs w:val="28"/>
        </w:rPr>
        <w:t xml:space="preserve">tification letters, and follow up regarding </w:t>
      </w:r>
      <w:r w:rsidR="009C780F">
        <w:rPr>
          <w:rFonts w:cs="Arial"/>
          <w:bCs/>
          <w:szCs w:val="28"/>
        </w:rPr>
        <w:t>sanction to employee.</w:t>
      </w:r>
      <w:r w:rsidR="00CB7012">
        <w:rPr>
          <w:rFonts w:cs="Arial"/>
          <w:bCs/>
          <w:szCs w:val="28"/>
        </w:rPr>
        <w:t xml:space="preserve"> </w:t>
      </w:r>
    </w:p>
    <w:p w:rsidR="000659C2" w:rsidRDefault="000659C2" w:rsidP="00B26510">
      <w:pPr>
        <w:ind w:left="2142"/>
        <w:rPr>
          <w:rFonts w:cs="Arial"/>
          <w:bCs/>
          <w:szCs w:val="28"/>
        </w:rPr>
      </w:pPr>
    </w:p>
    <w:p w:rsidR="00666506" w:rsidRDefault="000659C2" w:rsidP="00B26510">
      <w:pPr>
        <w:ind w:left="2142"/>
        <w:rPr>
          <w:rFonts w:cs="Arial"/>
          <w:bCs/>
          <w:szCs w:val="28"/>
        </w:rPr>
      </w:pPr>
      <w:r>
        <w:rPr>
          <w:rFonts w:cs="Arial"/>
          <w:bCs/>
          <w:szCs w:val="28"/>
        </w:rPr>
        <w:t>For reportable breaches, the Privacy Officer writes breach n</w:t>
      </w:r>
      <w:r w:rsidR="00BE3A1D">
        <w:rPr>
          <w:rFonts w:cs="Arial"/>
          <w:bCs/>
          <w:szCs w:val="28"/>
        </w:rPr>
        <w:t>otification letters as soon as possible, but no later than within 60 days of learning of breach</w:t>
      </w:r>
      <w:r>
        <w:rPr>
          <w:rFonts w:cs="Arial"/>
          <w:bCs/>
          <w:szCs w:val="28"/>
        </w:rPr>
        <w:t>, and</w:t>
      </w:r>
      <w:r w:rsidR="00BE3A1D">
        <w:rPr>
          <w:rFonts w:cs="Arial"/>
          <w:bCs/>
          <w:szCs w:val="28"/>
        </w:rPr>
        <w:t xml:space="preserve"> annually notifies Health and Human Services (HHS) for those breaches affec</w:t>
      </w:r>
      <w:r>
        <w:rPr>
          <w:rFonts w:cs="Arial"/>
          <w:bCs/>
          <w:szCs w:val="28"/>
        </w:rPr>
        <w:t>ting less than 500 individuals.</w:t>
      </w:r>
      <w:r w:rsidR="00BE3A1D">
        <w:rPr>
          <w:rFonts w:cs="Arial"/>
          <w:bCs/>
          <w:szCs w:val="28"/>
        </w:rPr>
        <w:t xml:space="preserve"> For large scale breaches, Privacy Office notifies HHS within 60 days of learning of breach. Corporate Communications </w:t>
      </w:r>
      <w:r w:rsidR="008D3FFC">
        <w:rPr>
          <w:rFonts w:cs="Arial"/>
          <w:bCs/>
          <w:szCs w:val="28"/>
        </w:rPr>
        <w:t xml:space="preserve">will determine </w:t>
      </w:r>
      <w:r w:rsidR="00BE3A1D">
        <w:rPr>
          <w:rFonts w:cs="Arial"/>
          <w:bCs/>
          <w:szCs w:val="28"/>
        </w:rPr>
        <w:t xml:space="preserve">media </w:t>
      </w:r>
      <w:r w:rsidR="00B26510">
        <w:rPr>
          <w:rFonts w:cs="Arial"/>
          <w:bCs/>
          <w:szCs w:val="28"/>
        </w:rPr>
        <w:t>notification;</w:t>
      </w:r>
      <w:r w:rsidR="00BE3A1D">
        <w:rPr>
          <w:rFonts w:cs="Arial"/>
          <w:bCs/>
          <w:szCs w:val="28"/>
        </w:rPr>
        <w:t xml:space="preserve"> call center </w:t>
      </w:r>
      <w:r w:rsidR="008D3FFC">
        <w:rPr>
          <w:rFonts w:cs="Arial"/>
          <w:bCs/>
          <w:szCs w:val="28"/>
        </w:rPr>
        <w:t xml:space="preserve">set up </w:t>
      </w:r>
      <w:r w:rsidR="00BE3A1D">
        <w:rPr>
          <w:rFonts w:cs="Arial"/>
          <w:bCs/>
          <w:szCs w:val="28"/>
        </w:rPr>
        <w:t>and web presence to answe</w:t>
      </w:r>
      <w:r w:rsidR="006D59FE">
        <w:rPr>
          <w:rFonts w:cs="Arial"/>
          <w:bCs/>
          <w:szCs w:val="28"/>
        </w:rPr>
        <w:t xml:space="preserve">r public concerns </w:t>
      </w:r>
      <w:r w:rsidR="00BE3A1D">
        <w:rPr>
          <w:rFonts w:cs="Arial"/>
          <w:bCs/>
          <w:szCs w:val="28"/>
        </w:rPr>
        <w:t xml:space="preserve">regarding a </w:t>
      </w:r>
      <w:r>
        <w:rPr>
          <w:rFonts w:cs="Arial"/>
          <w:bCs/>
          <w:szCs w:val="28"/>
        </w:rPr>
        <w:t>la</w:t>
      </w:r>
      <w:r w:rsidR="008D3FFC">
        <w:rPr>
          <w:rFonts w:cs="Arial"/>
          <w:bCs/>
          <w:szCs w:val="28"/>
        </w:rPr>
        <w:t xml:space="preserve">rge scale breach within 60 days, in compliance with HIPAA guidelines (see below). </w:t>
      </w:r>
      <w:r w:rsidR="00BE3A1D">
        <w:rPr>
          <w:rFonts w:cs="Arial"/>
          <w:bCs/>
          <w:szCs w:val="28"/>
        </w:rPr>
        <w:t xml:space="preserve"> The Incident Response Team debriefs each larger breach occurrence to initiate further analysis, determine root cause, </w:t>
      </w:r>
      <w:r w:rsidR="00B26510">
        <w:rPr>
          <w:rFonts w:cs="Arial"/>
          <w:bCs/>
          <w:szCs w:val="28"/>
        </w:rPr>
        <w:t>and perform</w:t>
      </w:r>
      <w:r w:rsidR="00BE3A1D">
        <w:rPr>
          <w:rFonts w:cs="Arial"/>
          <w:bCs/>
          <w:szCs w:val="28"/>
        </w:rPr>
        <w:t xml:space="preserve"> a “gap analysis” of where policy or procedure needs to be strengthened and other</w:t>
      </w:r>
      <w:r w:rsidR="00CF3173">
        <w:rPr>
          <w:rFonts w:cs="Arial"/>
          <w:bCs/>
          <w:szCs w:val="28"/>
        </w:rPr>
        <w:t xml:space="preserve"> measures as needed to prevent reoccurrence. </w:t>
      </w:r>
    </w:p>
    <w:p w:rsidR="00666506" w:rsidRDefault="00666506" w:rsidP="00B26510">
      <w:pPr>
        <w:tabs>
          <w:tab w:val="num" w:pos="3240"/>
        </w:tabs>
        <w:ind w:left="2880"/>
        <w:rPr>
          <w:rFonts w:cs="Arial"/>
          <w:bCs/>
          <w:szCs w:val="28"/>
        </w:rPr>
      </w:pPr>
      <w:r>
        <w:rPr>
          <w:rFonts w:cs="Arial"/>
          <w:bCs/>
          <w:szCs w:val="28"/>
        </w:rPr>
        <w:t> </w:t>
      </w:r>
    </w:p>
    <w:p w:rsidR="00666506" w:rsidRPr="00CC60F2" w:rsidRDefault="00666506" w:rsidP="00B26510">
      <w:pPr>
        <w:tabs>
          <w:tab w:val="num" w:pos="3240"/>
        </w:tabs>
        <w:ind w:left="2142"/>
        <w:rPr>
          <w:rFonts w:cs="Arial"/>
          <w:bCs/>
          <w:szCs w:val="28"/>
        </w:rPr>
      </w:pPr>
      <w:r>
        <w:rPr>
          <w:rFonts w:cs="Arial"/>
          <w:bCs/>
          <w:szCs w:val="28"/>
        </w:rPr>
        <w:t>The Pr</w:t>
      </w:r>
      <w:r w:rsidR="00CC60F2">
        <w:rPr>
          <w:rFonts w:cs="Arial"/>
          <w:bCs/>
          <w:szCs w:val="28"/>
        </w:rPr>
        <w:t xml:space="preserve">ivacy Office and Security Office periodically </w:t>
      </w:r>
      <w:r>
        <w:rPr>
          <w:rFonts w:cs="Arial"/>
          <w:bCs/>
          <w:szCs w:val="28"/>
        </w:rPr>
        <w:t xml:space="preserve">produce </w:t>
      </w:r>
      <w:r w:rsidR="00CF3173">
        <w:rPr>
          <w:rFonts w:cs="Arial"/>
          <w:bCs/>
          <w:szCs w:val="28"/>
        </w:rPr>
        <w:t xml:space="preserve">periodic </w:t>
      </w:r>
      <w:r>
        <w:rPr>
          <w:rFonts w:cs="Arial"/>
          <w:bCs/>
          <w:szCs w:val="28"/>
        </w:rPr>
        <w:t>reports and perform trend analyses of incide</w:t>
      </w:r>
      <w:r w:rsidR="008D3FFC">
        <w:rPr>
          <w:rFonts w:cs="Arial"/>
          <w:bCs/>
          <w:szCs w:val="28"/>
        </w:rPr>
        <w:t xml:space="preserve">nts for administrative review, including the Security Review Board. </w:t>
      </w:r>
      <w:r w:rsidR="00CC60F2">
        <w:rPr>
          <w:rFonts w:cs="Arial"/>
          <w:bCs/>
          <w:szCs w:val="28"/>
        </w:rPr>
        <w:t xml:space="preserve">  </w:t>
      </w:r>
    </w:p>
    <w:p w:rsidR="00666506" w:rsidRDefault="00666506" w:rsidP="00B26510">
      <w:pPr>
        <w:ind w:left="2880"/>
        <w:rPr>
          <w:rFonts w:cs="Arial"/>
          <w:b/>
          <w:szCs w:val="28"/>
        </w:rPr>
      </w:pPr>
      <w:r>
        <w:rPr>
          <w:rFonts w:cs="Arial"/>
          <w:b/>
          <w:szCs w:val="28"/>
        </w:rPr>
        <w:t> </w:t>
      </w:r>
    </w:p>
    <w:p w:rsidR="00666506" w:rsidRDefault="00CF3173" w:rsidP="00B26510">
      <w:pPr>
        <w:tabs>
          <w:tab w:val="num" w:pos="3240"/>
        </w:tabs>
        <w:ind w:left="2142"/>
        <w:rPr>
          <w:rFonts w:cs="Arial"/>
          <w:bCs/>
          <w:szCs w:val="28"/>
        </w:rPr>
      </w:pPr>
      <w:r>
        <w:rPr>
          <w:rFonts w:cs="Arial"/>
          <w:bCs/>
          <w:szCs w:val="28"/>
        </w:rPr>
        <w:t xml:space="preserve">Human Resources, </w:t>
      </w:r>
      <w:r w:rsidR="00271484">
        <w:rPr>
          <w:rFonts w:cs="Arial"/>
          <w:bCs/>
          <w:szCs w:val="28"/>
        </w:rPr>
        <w:t>Departmental Managers</w:t>
      </w:r>
      <w:r>
        <w:rPr>
          <w:rFonts w:cs="Arial"/>
          <w:bCs/>
          <w:szCs w:val="28"/>
        </w:rPr>
        <w:t xml:space="preserve"> and Privacy </w:t>
      </w:r>
      <w:r w:rsidR="008D3FFC">
        <w:rPr>
          <w:rFonts w:cs="Arial"/>
          <w:bCs/>
          <w:szCs w:val="28"/>
        </w:rPr>
        <w:t>(</w:t>
      </w:r>
      <w:r>
        <w:rPr>
          <w:rFonts w:cs="Arial"/>
          <w:bCs/>
          <w:szCs w:val="28"/>
        </w:rPr>
        <w:t>and Security Officer</w:t>
      </w:r>
      <w:r w:rsidR="00CC60F2">
        <w:rPr>
          <w:rFonts w:cs="Arial"/>
          <w:bCs/>
          <w:szCs w:val="28"/>
        </w:rPr>
        <w:t xml:space="preserve"> </w:t>
      </w:r>
      <w:r w:rsidR="008D3FFC">
        <w:rPr>
          <w:rFonts w:cs="Arial"/>
          <w:bCs/>
          <w:szCs w:val="28"/>
        </w:rPr>
        <w:t xml:space="preserve">as appropriate) </w:t>
      </w:r>
      <w:r>
        <w:rPr>
          <w:rFonts w:cs="Arial"/>
          <w:bCs/>
          <w:szCs w:val="28"/>
        </w:rPr>
        <w:t xml:space="preserve">will assess all violations and review disciplinary action options, </w:t>
      </w:r>
      <w:r w:rsidR="009C780F">
        <w:rPr>
          <w:rFonts w:cs="Arial"/>
          <w:bCs/>
          <w:szCs w:val="28"/>
        </w:rPr>
        <w:t>based on the Sanction</w:t>
      </w:r>
      <w:r>
        <w:rPr>
          <w:rFonts w:cs="Arial"/>
          <w:bCs/>
          <w:szCs w:val="28"/>
        </w:rPr>
        <w:t>s Policy</w:t>
      </w:r>
      <w:r w:rsidR="008D3FFC">
        <w:rPr>
          <w:rFonts w:cs="Arial"/>
          <w:bCs/>
          <w:szCs w:val="28"/>
        </w:rPr>
        <w:t>,</w:t>
      </w:r>
      <w:r w:rsidR="00CB7012">
        <w:rPr>
          <w:rFonts w:cs="Arial"/>
          <w:bCs/>
          <w:szCs w:val="28"/>
        </w:rPr>
        <w:t xml:space="preserve"> to make</w:t>
      </w:r>
      <w:r w:rsidR="00666506">
        <w:rPr>
          <w:rFonts w:cs="Arial"/>
          <w:bCs/>
          <w:szCs w:val="28"/>
        </w:rPr>
        <w:t xml:space="preserve"> recommendation of appropriate discip</w:t>
      </w:r>
      <w:r w:rsidR="00271484">
        <w:rPr>
          <w:rFonts w:cs="Arial"/>
          <w:bCs/>
          <w:szCs w:val="28"/>
        </w:rPr>
        <w:t>linary action for employee</w:t>
      </w:r>
      <w:r>
        <w:rPr>
          <w:rFonts w:cs="Arial"/>
          <w:bCs/>
          <w:szCs w:val="28"/>
        </w:rPr>
        <w:t>s.</w:t>
      </w:r>
      <w:r w:rsidR="00176251">
        <w:rPr>
          <w:rFonts w:cs="Arial"/>
          <w:bCs/>
          <w:szCs w:val="28"/>
        </w:rPr>
        <w:t xml:space="preserve"> Physician Leadershi</w:t>
      </w:r>
      <w:r>
        <w:rPr>
          <w:rFonts w:cs="Arial"/>
          <w:bCs/>
          <w:szCs w:val="28"/>
        </w:rPr>
        <w:t>p groups will determine appropriate disciplinary consequences per established Medical Executive Board rules,</w:t>
      </w:r>
      <w:r w:rsidR="00176251">
        <w:rPr>
          <w:rFonts w:cs="Arial"/>
          <w:bCs/>
          <w:szCs w:val="28"/>
        </w:rPr>
        <w:t xml:space="preserve"> with input from the Medical </w:t>
      </w:r>
      <w:r>
        <w:rPr>
          <w:rFonts w:cs="Arial"/>
          <w:bCs/>
          <w:szCs w:val="28"/>
        </w:rPr>
        <w:t xml:space="preserve">Director of Information Systems and the Privacy Office. </w:t>
      </w:r>
    </w:p>
    <w:p w:rsidR="00666506" w:rsidRDefault="00666506" w:rsidP="00B26510">
      <w:pPr>
        <w:tabs>
          <w:tab w:val="num" w:pos="3240"/>
        </w:tabs>
        <w:ind w:left="2880"/>
        <w:rPr>
          <w:rFonts w:cs="Arial"/>
          <w:bCs/>
          <w:szCs w:val="28"/>
        </w:rPr>
      </w:pPr>
      <w:r>
        <w:rPr>
          <w:rFonts w:cs="Arial"/>
          <w:bCs/>
          <w:szCs w:val="28"/>
        </w:rPr>
        <w:t> </w:t>
      </w:r>
    </w:p>
    <w:p w:rsidR="009C780F" w:rsidRDefault="009C780F" w:rsidP="00B26510">
      <w:pPr>
        <w:ind w:left="1422"/>
        <w:rPr>
          <w:rFonts w:cs="Arial"/>
          <w:b/>
          <w:szCs w:val="28"/>
        </w:rPr>
      </w:pPr>
    </w:p>
    <w:p w:rsidR="00666506" w:rsidRDefault="00666506" w:rsidP="00B26510">
      <w:pPr>
        <w:ind w:left="1422"/>
        <w:rPr>
          <w:rFonts w:cs="Arial"/>
          <w:b/>
          <w:szCs w:val="28"/>
        </w:rPr>
      </w:pPr>
      <w:r>
        <w:rPr>
          <w:rFonts w:cs="Arial"/>
          <w:b/>
          <w:szCs w:val="28"/>
        </w:rPr>
        <w:t xml:space="preserve">Reporting Incidents </w:t>
      </w:r>
    </w:p>
    <w:p w:rsidR="00666506" w:rsidRDefault="00666506" w:rsidP="00B26510">
      <w:pPr>
        <w:ind w:left="2142"/>
        <w:rPr>
          <w:rFonts w:cs="Arial"/>
          <w:bCs/>
          <w:szCs w:val="28"/>
        </w:rPr>
      </w:pPr>
      <w:r>
        <w:rPr>
          <w:rFonts w:cs="Arial"/>
          <w:bCs/>
          <w:szCs w:val="28"/>
        </w:rPr>
        <w:t xml:space="preserve">It is the responsibility of Munson workforce members, business associates, or any other external person who has been authorized to have access to Munson’s network, systems, applications or data, to report any known or suspected privacy or security incident involving </w:t>
      </w:r>
      <w:r w:rsidR="009C780F">
        <w:rPr>
          <w:rFonts w:cs="Arial"/>
          <w:bCs/>
          <w:szCs w:val="28"/>
        </w:rPr>
        <w:t xml:space="preserve">PHI to Munson’s Privacy Office or Security Office. </w:t>
      </w:r>
    </w:p>
    <w:p w:rsidR="00666506" w:rsidRDefault="00666506" w:rsidP="00B26510">
      <w:pPr>
        <w:ind w:left="2142"/>
        <w:rPr>
          <w:rFonts w:cs="Arial"/>
          <w:bCs/>
        </w:rPr>
      </w:pPr>
      <w:r>
        <w:rPr>
          <w:rFonts w:cs="Arial"/>
          <w:bCs/>
        </w:rPr>
        <w:t> </w:t>
      </w:r>
    </w:p>
    <w:p w:rsidR="00666506" w:rsidRDefault="00666506" w:rsidP="00B26510">
      <w:pPr>
        <w:ind w:left="2142"/>
        <w:rPr>
          <w:rFonts w:cs="Arial"/>
          <w:bCs/>
        </w:rPr>
      </w:pPr>
      <w:r>
        <w:rPr>
          <w:rFonts w:cs="Arial"/>
          <w:bCs/>
          <w:szCs w:val="28"/>
        </w:rPr>
        <w:t>Suspected or actual incidents may be identified and reported</w:t>
      </w:r>
      <w:r w:rsidRPr="00CC60F2">
        <w:rPr>
          <w:rFonts w:cs="Arial"/>
          <w:bCs/>
          <w:szCs w:val="28"/>
        </w:rPr>
        <w:t xml:space="preserve"> from</w:t>
      </w:r>
      <w:r>
        <w:rPr>
          <w:rFonts w:cs="Arial"/>
          <w:bCs/>
          <w:szCs w:val="28"/>
        </w:rPr>
        <w:t xml:space="preserve"> a number of different sources including, but not limited to, </w:t>
      </w:r>
      <w:r>
        <w:rPr>
          <w:rFonts w:cs="Arial"/>
          <w:bCs/>
        </w:rPr>
        <w:t>patient</w:t>
      </w:r>
      <w:r w:rsidR="00CC60F2">
        <w:rPr>
          <w:rFonts w:cs="Arial"/>
          <w:bCs/>
        </w:rPr>
        <w:t>s, their families or friends</w:t>
      </w:r>
      <w:r>
        <w:rPr>
          <w:rFonts w:cs="Arial"/>
          <w:bCs/>
        </w:rPr>
        <w:t>; workforce members; physicians; business as</w:t>
      </w:r>
      <w:r w:rsidR="00CB7012">
        <w:rPr>
          <w:rFonts w:cs="Arial"/>
          <w:bCs/>
        </w:rPr>
        <w:t xml:space="preserve">sociates; occurrence or auditing </w:t>
      </w:r>
      <w:r w:rsidR="00CC60F2">
        <w:rPr>
          <w:rFonts w:cs="Arial"/>
          <w:bCs/>
        </w:rPr>
        <w:t>reports; IS staff;</w:t>
      </w:r>
      <w:r>
        <w:rPr>
          <w:rFonts w:cs="Arial"/>
          <w:bCs/>
        </w:rPr>
        <w:t xml:space="preserve"> re</w:t>
      </w:r>
      <w:r w:rsidR="00CB7012">
        <w:rPr>
          <w:rFonts w:cs="Arial"/>
          <w:bCs/>
        </w:rPr>
        <w:t>gulatory agencies.</w:t>
      </w:r>
    </w:p>
    <w:p w:rsidR="00666506" w:rsidRDefault="00666506" w:rsidP="00B26510">
      <w:pPr>
        <w:ind w:left="2142"/>
        <w:rPr>
          <w:rFonts w:cs="Arial"/>
          <w:bCs/>
          <w:szCs w:val="28"/>
        </w:rPr>
      </w:pPr>
      <w:r>
        <w:rPr>
          <w:rFonts w:cs="Arial"/>
          <w:bCs/>
          <w:szCs w:val="28"/>
        </w:rPr>
        <w:t> </w:t>
      </w:r>
    </w:p>
    <w:p w:rsidR="00666506" w:rsidRPr="000659C2" w:rsidRDefault="00666506" w:rsidP="00B26510">
      <w:pPr>
        <w:ind w:left="2142"/>
        <w:rPr>
          <w:b/>
          <w:bCs/>
        </w:rPr>
      </w:pPr>
      <w:r>
        <w:rPr>
          <w:rFonts w:cs="Arial"/>
          <w:bCs/>
        </w:rPr>
        <w:t xml:space="preserve">These </w:t>
      </w:r>
      <w:r>
        <w:rPr>
          <w:rFonts w:cs="Arial"/>
          <w:bCs/>
          <w:szCs w:val="28"/>
        </w:rPr>
        <w:t>incidents</w:t>
      </w:r>
      <w:r>
        <w:rPr>
          <w:rFonts w:cs="Arial"/>
          <w:bCs/>
        </w:rPr>
        <w:t xml:space="preserve"> may be reported directly to the Privacy Officer but often they are </w:t>
      </w:r>
      <w:r w:rsidRPr="001768E0">
        <w:rPr>
          <w:rFonts w:cs="Arial"/>
          <w:bCs/>
        </w:rPr>
        <w:t xml:space="preserve">initially reported </w:t>
      </w:r>
      <w:r w:rsidRPr="001768E0">
        <w:rPr>
          <w:rFonts w:cs="Arial"/>
        </w:rPr>
        <w:t>to</w:t>
      </w:r>
      <w:r>
        <w:rPr>
          <w:rFonts w:cs="Arial"/>
          <w:bCs/>
        </w:rPr>
        <w:t xml:space="preserve"> clinicians, su</w:t>
      </w:r>
      <w:r w:rsidR="00CC60F2">
        <w:rPr>
          <w:rFonts w:cs="Arial"/>
          <w:bCs/>
        </w:rPr>
        <w:t>pervisors, the</w:t>
      </w:r>
      <w:r>
        <w:rPr>
          <w:rFonts w:cs="Arial"/>
          <w:bCs/>
        </w:rPr>
        <w:t xml:space="preserve"> Help</w:t>
      </w:r>
      <w:r w:rsidR="00CC60F2">
        <w:rPr>
          <w:rFonts w:cs="Arial"/>
          <w:bCs/>
        </w:rPr>
        <w:t xml:space="preserve"> Desk, application teams, VOICE reporting system,</w:t>
      </w:r>
      <w:r>
        <w:rPr>
          <w:rFonts w:cs="Arial"/>
          <w:bCs/>
        </w:rPr>
        <w:t xml:space="preserve"> Risk Management, Legal, executive</w:t>
      </w:r>
      <w:r w:rsidR="00CC60F2">
        <w:rPr>
          <w:rFonts w:cs="Arial"/>
          <w:bCs/>
        </w:rPr>
        <w:t xml:space="preserve"> management, or patient liaisons.</w:t>
      </w:r>
      <w:r>
        <w:rPr>
          <w:rFonts w:cs="Arial"/>
          <w:bCs/>
        </w:rPr>
        <w:t xml:space="preserve">  </w:t>
      </w:r>
      <w:r w:rsidRPr="00CB7012">
        <w:rPr>
          <w:rFonts w:cs="Arial"/>
          <w:b/>
          <w:bCs/>
        </w:rPr>
        <w:t>The date for breach notification begins when someone in agency is aware o</w:t>
      </w:r>
      <w:r w:rsidR="00CC60F2" w:rsidRPr="00CB7012">
        <w:rPr>
          <w:rFonts w:cs="Arial"/>
          <w:b/>
          <w:bCs/>
        </w:rPr>
        <w:t xml:space="preserve">f event, or should have been aware, using reasonable diligence. </w:t>
      </w:r>
      <w:r w:rsidRPr="001768E0">
        <w:rPr>
          <w:rFonts w:cs="Arial"/>
          <w:b/>
          <w:bCs/>
        </w:rPr>
        <w:t>It is the responsibility of those individuals and departments who receive reports of incidents to forw</w:t>
      </w:r>
      <w:r w:rsidR="00CC60F2" w:rsidRPr="001768E0">
        <w:rPr>
          <w:rFonts w:cs="Arial"/>
          <w:b/>
          <w:bCs/>
        </w:rPr>
        <w:t xml:space="preserve">ard them to the Privacy Office </w:t>
      </w:r>
      <w:r w:rsidR="00284B6D">
        <w:rPr>
          <w:rFonts w:cs="Arial"/>
          <w:b/>
          <w:bCs/>
        </w:rPr>
        <w:t>i</w:t>
      </w:r>
      <w:r w:rsidR="009C780F">
        <w:rPr>
          <w:rFonts w:cs="Arial"/>
          <w:b/>
          <w:bCs/>
        </w:rPr>
        <w:t>n a tim</w:t>
      </w:r>
      <w:r w:rsidR="008D3FFC">
        <w:rPr>
          <w:rFonts w:cs="Arial"/>
          <w:b/>
          <w:bCs/>
        </w:rPr>
        <w:t>ely manner.</w:t>
      </w:r>
    </w:p>
    <w:p w:rsidR="00284B6D" w:rsidRDefault="00284B6D" w:rsidP="00B26510">
      <w:pPr>
        <w:rPr>
          <w:sz w:val="22"/>
          <w:szCs w:val="22"/>
        </w:rPr>
      </w:pPr>
    </w:p>
    <w:p w:rsidR="00284B6D" w:rsidRPr="00284B6D" w:rsidRDefault="00284B6D" w:rsidP="00B26510">
      <w:pPr>
        <w:ind w:left="360" w:firstLine="720"/>
        <w:rPr>
          <w:b/>
          <w:sz w:val="22"/>
          <w:szCs w:val="22"/>
        </w:rPr>
      </w:pPr>
      <w:r w:rsidRPr="00284B6D">
        <w:rPr>
          <w:b/>
          <w:sz w:val="22"/>
          <w:szCs w:val="22"/>
        </w:rPr>
        <w:t>Mandatory Notificati</w:t>
      </w:r>
      <w:r w:rsidR="008D3FFC">
        <w:rPr>
          <w:b/>
          <w:sz w:val="22"/>
          <w:szCs w:val="22"/>
        </w:rPr>
        <w:t xml:space="preserve">on Requirements – Reporting to </w:t>
      </w:r>
      <w:r w:rsidRPr="00284B6D">
        <w:rPr>
          <w:b/>
          <w:sz w:val="22"/>
          <w:szCs w:val="22"/>
        </w:rPr>
        <w:t>HHS</w:t>
      </w:r>
    </w:p>
    <w:p w:rsidR="00284B6D" w:rsidRPr="00284B6D" w:rsidRDefault="00284B6D" w:rsidP="00B26510">
      <w:pPr>
        <w:ind w:left="360"/>
        <w:rPr>
          <w:sz w:val="22"/>
          <w:szCs w:val="22"/>
        </w:rPr>
      </w:pPr>
    </w:p>
    <w:p w:rsidR="00284B6D" w:rsidRPr="00284B6D" w:rsidRDefault="008D3FFC" w:rsidP="00B26510">
      <w:pPr>
        <w:numPr>
          <w:ilvl w:val="0"/>
          <w:numId w:val="8"/>
        </w:numPr>
        <w:tabs>
          <w:tab w:val="num" w:pos="1440"/>
        </w:tabs>
        <w:ind w:left="1440"/>
        <w:rPr>
          <w:sz w:val="22"/>
          <w:szCs w:val="22"/>
        </w:rPr>
      </w:pPr>
      <w:r>
        <w:rPr>
          <w:sz w:val="22"/>
          <w:szCs w:val="22"/>
        </w:rPr>
        <w:t xml:space="preserve">Immediate notification of </w:t>
      </w:r>
      <w:r w:rsidR="00284B6D" w:rsidRPr="00284B6D">
        <w:rPr>
          <w:sz w:val="22"/>
          <w:szCs w:val="22"/>
        </w:rPr>
        <w:t>HHS must be made concerning Breaches of Unsecured PHI impacting more than 500 individuals.</w:t>
      </w:r>
    </w:p>
    <w:p w:rsidR="00284B6D" w:rsidRPr="00284B6D" w:rsidRDefault="00284B6D" w:rsidP="00B26510">
      <w:pPr>
        <w:numPr>
          <w:ilvl w:val="0"/>
          <w:numId w:val="8"/>
        </w:numPr>
        <w:tabs>
          <w:tab w:val="num" w:pos="1440"/>
        </w:tabs>
        <w:ind w:left="1440"/>
        <w:rPr>
          <w:sz w:val="22"/>
          <w:szCs w:val="22"/>
        </w:rPr>
      </w:pPr>
      <w:r w:rsidRPr="00284B6D">
        <w:rPr>
          <w:sz w:val="22"/>
          <w:szCs w:val="22"/>
        </w:rPr>
        <w:t>For Breaches of Unsecured PHI impacting fewer than 50</w:t>
      </w:r>
      <w:r w:rsidR="008D3FFC">
        <w:rPr>
          <w:sz w:val="22"/>
          <w:szCs w:val="22"/>
        </w:rPr>
        <w:t>0 individuals, the Privacy Officer will document the b</w:t>
      </w:r>
      <w:r w:rsidRPr="00284B6D">
        <w:rPr>
          <w:sz w:val="22"/>
          <w:szCs w:val="22"/>
        </w:rPr>
        <w:t>reaches in Feedback Monitor Pro or other compla</w:t>
      </w:r>
      <w:r w:rsidR="008D3FFC">
        <w:rPr>
          <w:sz w:val="22"/>
          <w:szCs w:val="22"/>
        </w:rPr>
        <w:t xml:space="preserve">int management form. </w:t>
      </w:r>
    </w:p>
    <w:p w:rsidR="00284B6D" w:rsidRPr="00284B6D" w:rsidRDefault="00284B6D" w:rsidP="00B26510">
      <w:pPr>
        <w:numPr>
          <w:ilvl w:val="0"/>
          <w:numId w:val="8"/>
        </w:numPr>
        <w:tabs>
          <w:tab w:val="num" w:pos="1440"/>
        </w:tabs>
        <w:ind w:left="1440"/>
        <w:rPr>
          <w:sz w:val="22"/>
          <w:szCs w:val="22"/>
        </w:rPr>
      </w:pPr>
      <w:r w:rsidRPr="00284B6D">
        <w:rPr>
          <w:sz w:val="22"/>
          <w:szCs w:val="22"/>
        </w:rPr>
        <w:t>Using the data entered into Feedback Monitor Pro, or other incident documentat</w:t>
      </w:r>
      <w:r w:rsidR="008D3FFC">
        <w:rPr>
          <w:sz w:val="22"/>
          <w:szCs w:val="22"/>
        </w:rPr>
        <w:t>ion systems the</w:t>
      </w:r>
      <w:r w:rsidRPr="00284B6D">
        <w:rPr>
          <w:sz w:val="22"/>
          <w:szCs w:val="22"/>
        </w:rPr>
        <w:t xml:space="preserve"> Privacy Office will submi</w:t>
      </w:r>
      <w:r w:rsidR="008D3FFC">
        <w:rPr>
          <w:sz w:val="22"/>
          <w:szCs w:val="22"/>
        </w:rPr>
        <w:t xml:space="preserve">t the required notification to </w:t>
      </w:r>
      <w:r w:rsidRPr="00284B6D">
        <w:rPr>
          <w:sz w:val="22"/>
          <w:szCs w:val="22"/>
        </w:rPr>
        <w:t xml:space="preserve">HHS no later than sixty (60) days after the end of each calendar year.  </w:t>
      </w:r>
      <w:r w:rsidR="008D3FFC">
        <w:rPr>
          <w:sz w:val="22"/>
          <w:szCs w:val="22"/>
        </w:rPr>
        <w:t xml:space="preserve">One form per each incidence is submitted. </w:t>
      </w:r>
    </w:p>
    <w:p w:rsidR="00284B6D" w:rsidRPr="00284B6D" w:rsidRDefault="00284B6D" w:rsidP="00B26510">
      <w:pPr>
        <w:ind w:left="1080"/>
        <w:rPr>
          <w:sz w:val="22"/>
          <w:szCs w:val="22"/>
        </w:rPr>
      </w:pPr>
    </w:p>
    <w:p w:rsidR="00284B6D" w:rsidRPr="00284B6D" w:rsidRDefault="00284B6D" w:rsidP="00B26510">
      <w:pPr>
        <w:ind w:left="360" w:firstLine="720"/>
        <w:rPr>
          <w:b/>
          <w:sz w:val="22"/>
          <w:szCs w:val="22"/>
        </w:rPr>
      </w:pPr>
      <w:r w:rsidRPr="00284B6D">
        <w:rPr>
          <w:b/>
          <w:sz w:val="22"/>
          <w:szCs w:val="22"/>
        </w:rPr>
        <w:t>Mandatory Notification Requirements – Reporting to Media</w:t>
      </w:r>
    </w:p>
    <w:p w:rsidR="00284B6D" w:rsidRPr="00284B6D" w:rsidRDefault="00284B6D" w:rsidP="00B26510">
      <w:pPr>
        <w:ind w:left="360"/>
        <w:rPr>
          <w:sz w:val="22"/>
          <w:szCs w:val="22"/>
        </w:rPr>
      </w:pPr>
    </w:p>
    <w:p w:rsidR="00284B6D" w:rsidRPr="00284B6D" w:rsidRDefault="008D3FFC" w:rsidP="00B26510">
      <w:pPr>
        <w:numPr>
          <w:ilvl w:val="0"/>
          <w:numId w:val="9"/>
        </w:numPr>
        <w:rPr>
          <w:sz w:val="22"/>
          <w:szCs w:val="22"/>
        </w:rPr>
      </w:pPr>
      <w:r>
        <w:rPr>
          <w:sz w:val="22"/>
          <w:szCs w:val="22"/>
        </w:rPr>
        <w:t>Corporate Communications: t</w:t>
      </w:r>
      <w:r w:rsidR="00284B6D" w:rsidRPr="00284B6D">
        <w:rPr>
          <w:sz w:val="22"/>
          <w:szCs w:val="22"/>
        </w:rPr>
        <w:t>he content of the media notification shall include:</w:t>
      </w:r>
    </w:p>
    <w:p w:rsidR="00284B6D" w:rsidRPr="00284B6D" w:rsidRDefault="00284B6D" w:rsidP="00B26510">
      <w:pPr>
        <w:ind w:left="1080"/>
        <w:rPr>
          <w:sz w:val="22"/>
          <w:szCs w:val="22"/>
        </w:rPr>
      </w:pPr>
    </w:p>
    <w:p w:rsidR="00284B6D" w:rsidRPr="00284B6D" w:rsidRDefault="00284B6D" w:rsidP="00B26510">
      <w:pPr>
        <w:ind w:left="2160" w:hanging="360"/>
        <w:rPr>
          <w:sz w:val="22"/>
          <w:szCs w:val="22"/>
        </w:rPr>
      </w:pPr>
      <w:r w:rsidRPr="00284B6D">
        <w:rPr>
          <w:sz w:val="22"/>
          <w:szCs w:val="22"/>
        </w:rPr>
        <w:t>-</w:t>
      </w:r>
      <w:r w:rsidRPr="00284B6D">
        <w:rPr>
          <w:sz w:val="22"/>
          <w:szCs w:val="22"/>
        </w:rPr>
        <w:tab/>
        <w:t>A brief description of the occurrence, including the date of the Breach and the date of discovery;</w:t>
      </w:r>
    </w:p>
    <w:p w:rsidR="00284B6D" w:rsidRPr="00284B6D" w:rsidRDefault="00284B6D" w:rsidP="00B26510">
      <w:pPr>
        <w:ind w:left="2160" w:hanging="360"/>
        <w:rPr>
          <w:sz w:val="22"/>
          <w:szCs w:val="22"/>
        </w:rPr>
      </w:pPr>
      <w:r w:rsidRPr="00284B6D">
        <w:rPr>
          <w:sz w:val="22"/>
          <w:szCs w:val="22"/>
        </w:rPr>
        <w:t>-</w:t>
      </w:r>
      <w:r w:rsidRPr="00284B6D">
        <w:rPr>
          <w:sz w:val="22"/>
          <w:szCs w:val="22"/>
        </w:rPr>
        <w:tab/>
        <w:t>A description of the types of unsecured protected health information involved (e.g., SSN, full name, DOB, etc.);</w:t>
      </w:r>
    </w:p>
    <w:p w:rsidR="00284B6D" w:rsidRPr="00284B6D" w:rsidRDefault="00284B6D" w:rsidP="00B26510">
      <w:pPr>
        <w:ind w:left="2160" w:hanging="360"/>
        <w:rPr>
          <w:sz w:val="22"/>
          <w:szCs w:val="22"/>
        </w:rPr>
      </w:pPr>
      <w:r w:rsidRPr="00284B6D">
        <w:rPr>
          <w:sz w:val="22"/>
          <w:szCs w:val="22"/>
        </w:rPr>
        <w:t>-</w:t>
      </w:r>
      <w:r w:rsidRPr="00284B6D">
        <w:rPr>
          <w:sz w:val="22"/>
          <w:szCs w:val="22"/>
        </w:rPr>
        <w:tab/>
        <w:t>Steps individuals should take to protect themselves from further harm;</w:t>
      </w:r>
    </w:p>
    <w:p w:rsidR="00284B6D" w:rsidRPr="00284B6D" w:rsidRDefault="00284B6D" w:rsidP="00B26510">
      <w:pPr>
        <w:ind w:left="2160" w:hanging="360"/>
        <w:rPr>
          <w:sz w:val="22"/>
          <w:szCs w:val="22"/>
        </w:rPr>
      </w:pPr>
      <w:r w:rsidRPr="00284B6D">
        <w:rPr>
          <w:sz w:val="22"/>
          <w:szCs w:val="22"/>
        </w:rPr>
        <w:t>-</w:t>
      </w:r>
      <w:r w:rsidRPr="00284B6D">
        <w:rPr>
          <w:sz w:val="22"/>
          <w:szCs w:val="22"/>
        </w:rPr>
        <w:tab/>
        <w:t>A brief de</w:t>
      </w:r>
      <w:r w:rsidR="006D59FE">
        <w:rPr>
          <w:sz w:val="22"/>
          <w:szCs w:val="22"/>
        </w:rPr>
        <w:t xml:space="preserve">scription of Munson’s </w:t>
      </w:r>
      <w:r w:rsidRPr="00284B6D">
        <w:rPr>
          <w:sz w:val="22"/>
          <w:szCs w:val="22"/>
        </w:rPr>
        <w:t>efforts to investigate the Breach, mitigate losses and protect against further Breaches; and</w:t>
      </w:r>
    </w:p>
    <w:p w:rsidR="00284B6D" w:rsidRPr="00284B6D" w:rsidRDefault="00284B6D" w:rsidP="00B26510">
      <w:pPr>
        <w:ind w:left="2160" w:hanging="360"/>
        <w:rPr>
          <w:sz w:val="22"/>
          <w:szCs w:val="22"/>
        </w:rPr>
      </w:pPr>
      <w:r w:rsidRPr="00284B6D">
        <w:rPr>
          <w:sz w:val="22"/>
          <w:szCs w:val="22"/>
        </w:rPr>
        <w:t>-</w:t>
      </w:r>
      <w:r w:rsidRPr="00284B6D">
        <w:rPr>
          <w:sz w:val="22"/>
          <w:szCs w:val="22"/>
        </w:rPr>
        <w:tab/>
        <w:t>Contact procedures for questions which shall include a toll-free number, an e-mail address, website OR postal address.</w:t>
      </w:r>
    </w:p>
    <w:p w:rsidR="00666506" w:rsidRPr="001768E0" w:rsidRDefault="00666506" w:rsidP="00B26510">
      <w:pPr>
        <w:ind w:left="2880"/>
        <w:rPr>
          <w:rFonts w:cs="Arial"/>
          <w:b/>
          <w:bCs/>
        </w:rPr>
      </w:pPr>
      <w:r w:rsidRPr="001768E0">
        <w:rPr>
          <w:rFonts w:cs="Arial"/>
          <w:b/>
          <w:bCs/>
        </w:rPr>
        <w:t> </w:t>
      </w:r>
    </w:p>
    <w:p w:rsidR="00666506" w:rsidRDefault="00666506" w:rsidP="00B26510">
      <w:pPr>
        <w:ind w:left="1422"/>
        <w:rPr>
          <w:rFonts w:cs="Arial"/>
          <w:b/>
        </w:rPr>
      </w:pPr>
      <w:r>
        <w:rPr>
          <w:rFonts w:cs="Arial"/>
          <w:b/>
        </w:rPr>
        <w:t>Initial Incident Response</w:t>
      </w:r>
    </w:p>
    <w:p w:rsidR="00666506" w:rsidRDefault="00666506" w:rsidP="00B26510">
      <w:pPr>
        <w:ind w:left="2142"/>
        <w:rPr>
          <w:rFonts w:cs="Arial"/>
          <w:bCs/>
        </w:rPr>
      </w:pPr>
      <w:r>
        <w:rPr>
          <w:rFonts w:cs="Arial"/>
          <w:bCs/>
        </w:rPr>
        <w:t>When an incident is discovered, any necessary immediate cor</w:t>
      </w:r>
      <w:r w:rsidR="006D59FE">
        <w:rPr>
          <w:rFonts w:cs="Arial"/>
          <w:bCs/>
        </w:rPr>
        <w:t>rective action will be initiated</w:t>
      </w:r>
      <w:r>
        <w:rPr>
          <w:rFonts w:cs="Arial"/>
          <w:bCs/>
        </w:rPr>
        <w:t xml:space="preserve"> to prevent the incident from continuing and to minimize and contai</w:t>
      </w:r>
      <w:r w:rsidR="00CC60F2">
        <w:rPr>
          <w:rFonts w:cs="Arial"/>
          <w:bCs/>
        </w:rPr>
        <w:t>n potential damage.</w:t>
      </w:r>
      <w:r w:rsidR="001768E0">
        <w:rPr>
          <w:rFonts w:cs="Arial"/>
          <w:bCs/>
        </w:rPr>
        <w:t xml:space="preserve"> </w:t>
      </w:r>
    </w:p>
    <w:p w:rsidR="00CC60F2" w:rsidRDefault="00CC60F2" w:rsidP="00B26510">
      <w:pPr>
        <w:ind w:left="2142"/>
        <w:rPr>
          <w:rFonts w:cs="Arial"/>
          <w:bCs/>
          <w:u w:val="single"/>
        </w:rPr>
      </w:pPr>
    </w:p>
    <w:p w:rsidR="00666506" w:rsidRDefault="00666506" w:rsidP="00B26510">
      <w:pPr>
        <w:ind w:left="2142"/>
        <w:rPr>
          <w:rFonts w:cs="Arial"/>
          <w:bCs/>
        </w:rPr>
      </w:pPr>
      <w:r>
        <w:rPr>
          <w:rFonts w:cs="Arial"/>
          <w:bCs/>
        </w:rPr>
        <w:t>The Privacy Officer will document initial information about the i</w:t>
      </w:r>
      <w:r w:rsidR="006D59FE">
        <w:rPr>
          <w:rFonts w:cs="Arial"/>
          <w:bCs/>
        </w:rPr>
        <w:t>ncident.</w:t>
      </w:r>
      <w:r w:rsidR="00CC60F2">
        <w:rPr>
          <w:rFonts w:cs="Arial"/>
          <w:bCs/>
        </w:rPr>
        <w:t xml:space="preserve"> </w:t>
      </w:r>
    </w:p>
    <w:p w:rsidR="00666506" w:rsidRDefault="00666506" w:rsidP="00B26510">
      <w:pPr>
        <w:ind w:left="2142"/>
        <w:rPr>
          <w:rFonts w:cs="Arial"/>
          <w:bCs/>
          <w:u w:val="single"/>
        </w:rPr>
      </w:pPr>
      <w:bookmarkStart w:id="0" w:name="_GoBack"/>
      <w:bookmarkEnd w:id="0"/>
    </w:p>
    <w:p w:rsidR="00666506" w:rsidRDefault="006D59FE" w:rsidP="00B26510">
      <w:pPr>
        <w:ind w:left="2862"/>
        <w:rPr>
          <w:rFonts w:cs="Arial"/>
          <w:b/>
          <w:u w:val="single"/>
        </w:rPr>
      </w:pPr>
      <w:r>
        <w:rPr>
          <w:rFonts w:cs="Arial"/>
          <w:bCs/>
        </w:rPr>
        <w:t xml:space="preserve">Incident information documentation will include:  Type of incident; </w:t>
      </w:r>
      <w:r w:rsidR="00666506">
        <w:rPr>
          <w:rFonts w:cs="Arial"/>
          <w:bCs/>
        </w:rPr>
        <w:t xml:space="preserve">description of the incident; </w:t>
      </w:r>
      <w:r w:rsidR="009C780F">
        <w:rPr>
          <w:rFonts w:cs="Arial"/>
          <w:bCs/>
        </w:rPr>
        <w:t xml:space="preserve">type and extent of PHI involved, number of persons affected, </w:t>
      </w:r>
      <w:r w:rsidR="00666506">
        <w:rPr>
          <w:rFonts w:cs="Arial"/>
          <w:bCs/>
        </w:rPr>
        <w:t>identification of the network and major applications, systems and/or databases impacted; date o</w:t>
      </w:r>
      <w:r w:rsidR="00E9381A">
        <w:rPr>
          <w:rFonts w:cs="Arial"/>
          <w:bCs/>
        </w:rPr>
        <w:t>f occurrence; date reported;</w:t>
      </w:r>
      <w:r w:rsidR="00666506">
        <w:rPr>
          <w:rFonts w:cs="Arial"/>
          <w:bCs/>
        </w:rPr>
        <w:t xml:space="preserve"> the name of the person who reported the incident and the person to contact for more information; </w:t>
      </w:r>
      <w:r w:rsidR="00E9381A">
        <w:rPr>
          <w:rFonts w:cs="Arial"/>
          <w:bCs/>
        </w:rPr>
        <w:t xml:space="preserve">names of persons affected, </w:t>
      </w:r>
      <w:r w:rsidR="00666506">
        <w:rPr>
          <w:rFonts w:cs="Arial"/>
          <w:bCs/>
        </w:rPr>
        <w:t>names of persons/positions that have been notified of the incident.  Other relevant informa</w:t>
      </w:r>
      <w:r>
        <w:rPr>
          <w:rFonts w:cs="Arial"/>
          <w:bCs/>
        </w:rPr>
        <w:t xml:space="preserve">tion will be added, including all follow up investigative and remedial actions taken. </w:t>
      </w:r>
    </w:p>
    <w:p w:rsidR="00666506" w:rsidRDefault="00666506" w:rsidP="00B26510">
      <w:pPr>
        <w:tabs>
          <w:tab w:val="num" w:pos="2520"/>
        </w:tabs>
        <w:ind w:left="1800"/>
        <w:rPr>
          <w:rFonts w:cs="Arial"/>
          <w:bCs/>
          <w:u w:val="single"/>
        </w:rPr>
      </w:pPr>
    </w:p>
    <w:p w:rsidR="00666506" w:rsidRDefault="00666506" w:rsidP="00B26510">
      <w:pPr>
        <w:ind w:left="1422"/>
        <w:rPr>
          <w:rFonts w:cs="Arial"/>
          <w:b/>
        </w:rPr>
      </w:pPr>
      <w:r>
        <w:rPr>
          <w:rFonts w:cs="Arial"/>
          <w:b/>
        </w:rPr>
        <w:t>Incident Investigation</w:t>
      </w:r>
    </w:p>
    <w:p w:rsidR="00666506" w:rsidRDefault="00CC60F2" w:rsidP="00B26510">
      <w:pPr>
        <w:ind w:left="2142"/>
        <w:rPr>
          <w:rFonts w:cs="Arial"/>
          <w:bCs/>
        </w:rPr>
      </w:pPr>
      <w:r>
        <w:rPr>
          <w:rFonts w:cs="Arial"/>
          <w:bCs/>
        </w:rPr>
        <w:t>The Privacy Officer</w:t>
      </w:r>
      <w:r w:rsidR="00666506">
        <w:rPr>
          <w:rFonts w:cs="Arial"/>
          <w:bCs/>
        </w:rPr>
        <w:t xml:space="preserve"> gather</w:t>
      </w:r>
      <w:r>
        <w:rPr>
          <w:rFonts w:cs="Arial"/>
          <w:bCs/>
        </w:rPr>
        <w:t>s</w:t>
      </w:r>
      <w:r w:rsidR="00666506">
        <w:rPr>
          <w:rFonts w:cs="Arial"/>
          <w:bCs/>
        </w:rPr>
        <w:t xml:space="preserve"> evidence about the incident and document</w:t>
      </w:r>
      <w:r>
        <w:rPr>
          <w:rFonts w:cs="Arial"/>
          <w:bCs/>
        </w:rPr>
        <w:t>s</w:t>
      </w:r>
      <w:r w:rsidR="00666506">
        <w:rPr>
          <w:rFonts w:cs="Arial"/>
          <w:bCs/>
        </w:rPr>
        <w:t xml:space="preserve"> the progress of the inves</w:t>
      </w:r>
      <w:r w:rsidR="00E9381A">
        <w:rPr>
          <w:rFonts w:cs="Arial"/>
          <w:bCs/>
        </w:rPr>
        <w:t>tigation</w:t>
      </w:r>
      <w:r w:rsidR="00666506">
        <w:rPr>
          <w:rFonts w:cs="Arial"/>
          <w:bCs/>
        </w:rPr>
        <w:t xml:space="preserve">. </w:t>
      </w:r>
    </w:p>
    <w:p w:rsidR="00666506" w:rsidRDefault="00666506" w:rsidP="00B26510">
      <w:pPr>
        <w:ind w:left="2142"/>
        <w:rPr>
          <w:rFonts w:cs="Arial"/>
          <w:bCs/>
        </w:rPr>
      </w:pPr>
      <w:r>
        <w:rPr>
          <w:rFonts w:cs="Arial"/>
          <w:bCs/>
        </w:rPr>
        <w:t> </w:t>
      </w:r>
    </w:p>
    <w:p w:rsidR="00666506" w:rsidRDefault="00E9381A" w:rsidP="00B26510">
      <w:pPr>
        <w:ind w:left="2862"/>
        <w:rPr>
          <w:rFonts w:cs="Arial"/>
          <w:bCs/>
        </w:rPr>
      </w:pPr>
      <w:r>
        <w:rPr>
          <w:rFonts w:cs="Arial"/>
          <w:bCs/>
        </w:rPr>
        <w:t>If the breach is a</w:t>
      </w:r>
      <w:r w:rsidR="00666506">
        <w:rPr>
          <w:rFonts w:cs="Arial"/>
          <w:bCs/>
        </w:rPr>
        <w:t xml:space="preserve"> security incident, col</w:t>
      </w:r>
      <w:r w:rsidR="001768E0">
        <w:rPr>
          <w:rFonts w:cs="Arial"/>
          <w:bCs/>
        </w:rPr>
        <w:t>lecting evidence may involve:  m</w:t>
      </w:r>
      <w:r w:rsidR="00666506">
        <w:rPr>
          <w:rFonts w:cs="Arial"/>
          <w:bCs/>
        </w:rPr>
        <w:t>aking backup copies of damaged or altered files and keeping them in a secure, off-line location; reviewing audit trails; continuou</w:t>
      </w:r>
      <w:r w:rsidR="006D59FE">
        <w:rPr>
          <w:rFonts w:cs="Arial"/>
          <w:bCs/>
        </w:rPr>
        <w:t xml:space="preserve">s monitoring of system activity, </w:t>
      </w:r>
      <w:r w:rsidR="00666506">
        <w:rPr>
          <w:rFonts w:cs="Arial"/>
          <w:bCs/>
        </w:rPr>
        <w:t>disconnecting the affected system from the network and/or shutting down the system; restricting all users’ access to a compromised system; deletion of a specific user’s</w:t>
      </w:r>
      <w:r w:rsidR="00666506">
        <w:rPr>
          <w:rFonts w:cs="Arial"/>
          <w:b/>
        </w:rPr>
        <w:t xml:space="preserve"> </w:t>
      </w:r>
      <w:r w:rsidR="00666506">
        <w:rPr>
          <w:rFonts w:cs="Arial"/>
          <w:bCs/>
        </w:rPr>
        <w:t>access privileges; and reviewing system security configurations.</w:t>
      </w:r>
    </w:p>
    <w:p w:rsidR="00666506" w:rsidRDefault="00666506" w:rsidP="00B26510">
      <w:pPr>
        <w:ind w:left="2862"/>
        <w:rPr>
          <w:rFonts w:cs="Arial"/>
          <w:bCs/>
        </w:rPr>
      </w:pPr>
      <w:r>
        <w:rPr>
          <w:rFonts w:cs="Arial"/>
          <w:bCs/>
        </w:rPr>
        <w:t> </w:t>
      </w:r>
    </w:p>
    <w:p w:rsidR="00666506" w:rsidRDefault="00666506" w:rsidP="00B26510">
      <w:pPr>
        <w:tabs>
          <w:tab w:val="num" w:pos="3042"/>
        </w:tabs>
        <w:ind w:left="2862"/>
        <w:rPr>
          <w:rFonts w:cs="Arial"/>
          <w:bCs/>
        </w:rPr>
      </w:pPr>
      <w:r>
        <w:rPr>
          <w:rFonts w:cs="Arial"/>
          <w:bCs/>
        </w:rPr>
        <w:t xml:space="preserve">If it is a privacy incident, this may involve interviewing patients, workforce members or others; obtaining monitoring reports of accesses to the PHI in question; </w:t>
      </w:r>
      <w:r w:rsidR="00E9381A">
        <w:rPr>
          <w:rFonts w:cs="Arial"/>
          <w:bCs/>
        </w:rPr>
        <w:t>chart review by Privacy Officer,</w:t>
      </w:r>
      <w:r w:rsidR="001768E0">
        <w:rPr>
          <w:rFonts w:cs="Arial"/>
          <w:bCs/>
        </w:rPr>
        <w:t xml:space="preserve"> </w:t>
      </w:r>
      <w:r w:rsidR="00CC60F2">
        <w:rPr>
          <w:rFonts w:cs="Arial"/>
          <w:bCs/>
        </w:rPr>
        <w:t xml:space="preserve">conducting specific auditing reports, </w:t>
      </w:r>
      <w:r>
        <w:rPr>
          <w:rFonts w:cs="Arial"/>
          <w:bCs/>
        </w:rPr>
        <w:t>reviewing access privileges; obtaining Help Desk records of reported problems; checking work documents used; checking employee files for evidence of training; or oth</w:t>
      </w:r>
      <w:r w:rsidR="006D59FE">
        <w:rPr>
          <w:rFonts w:cs="Arial"/>
          <w:bCs/>
        </w:rPr>
        <w:t>er steps.</w:t>
      </w:r>
    </w:p>
    <w:p w:rsidR="00666506" w:rsidRDefault="00666506" w:rsidP="00B26510">
      <w:pPr>
        <w:ind w:left="2142"/>
        <w:rPr>
          <w:rFonts w:cs="Arial"/>
          <w:b/>
        </w:rPr>
      </w:pPr>
      <w:r>
        <w:rPr>
          <w:rFonts w:cs="Arial"/>
          <w:b/>
        </w:rPr>
        <w:t> </w:t>
      </w:r>
    </w:p>
    <w:p w:rsidR="00666506" w:rsidRPr="00284B6D" w:rsidRDefault="00666506" w:rsidP="00B26510">
      <w:pPr>
        <w:ind w:left="2142"/>
        <w:rPr>
          <w:rFonts w:cs="Arial"/>
          <w:bCs/>
          <w:color w:val="FF0000"/>
        </w:rPr>
      </w:pPr>
      <w:r>
        <w:rPr>
          <w:rFonts w:cs="Arial"/>
          <w:bCs/>
        </w:rPr>
        <w:t xml:space="preserve">If the incident involves a business associate of Munson, the Privacy Officer </w:t>
      </w:r>
      <w:r w:rsidR="001768E0">
        <w:rPr>
          <w:rFonts w:cs="Arial"/>
          <w:bCs/>
        </w:rPr>
        <w:t>will notify the office manager</w:t>
      </w:r>
      <w:r>
        <w:rPr>
          <w:rFonts w:cs="Arial"/>
          <w:bCs/>
        </w:rPr>
        <w:t xml:space="preserve"> who is responsible for the business relation</w:t>
      </w:r>
      <w:r w:rsidR="000659C2">
        <w:rPr>
          <w:rFonts w:cs="Arial"/>
          <w:bCs/>
        </w:rPr>
        <w:t xml:space="preserve">ship with the vendor and may serve as a </w:t>
      </w:r>
      <w:r w:rsidR="00E9381A">
        <w:rPr>
          <w:rFonts w:cs="Arial"/>
          <w:bCs/>
        </w:rPr>
        <w:t>consultant to</w:t>
      </w:r>
      <w:r>
        <w:rPr>
          <w:rFonts w:cs="Arial"/>
          <w:bCs/>
        </w:rPr>
        <w:t xml:space="preserve"> him/her throughout the inves</w:t>
      </w:r>
      <w:r w:rsidR="00E9381A">
        <w:rPr>
          <w:rFonts w:cs="Arial"/>
          <w:bCs/>
        </w:rPr>
        <w:t>tigative proce</w:t>
      </w:r>
      <w:r w:rsidR="000659C2">
        <w:rPr>
          <w:rFonts w:cs="Arial"/>
          <w:bCs/>
        </w:rPr>
        <w:t>ss.</w:t>
      </w:r>
      <w:r w:rsidR="00E9381A">
        <w:rPr>
          <w:rFonts w:cs="Arial"/>
          <w:bCs/>
        </w:rPr>
        <w:t xml:space="preserve"> </w:t>
      </w:r>
      <w:r w:rsidR="00E9381A" w:rsidRPr="00284B6D">
        <w:rPr>
          <w:rFonts w:cs="Arial"/>
          <w:bCs/>
        </w:rPr>
        <w:t>The Business Associate will send a copy of the Breach Notification lette</w:t>
      </w:r>
      <w:r w:rsidR="000659C2">
        <w:rPr>
          <w:rFonts w:cs="Arial"/>
          <w:bCs/>
        </w:rPr>
        <w:t xml:space="preserve">r to Munson’s </w:t>
      </w:r>
      <w:r w:rsidR="006D59FE">
        <w:rPr>
          <w:rFonts w:cs="Arial"/>
          <w:bCs/>
        </w:rPr>
        <w:t>Privacy Office for approval, as clarified in the Business Associate Agreement.</w:t>
      </w:r>
    </w:p>
    <w:p w:rsidR="00666506" w:rsidRDefault="00666506" w:rsidP="00B26510">
      <w:pPr>
        <w:rPr>
          <w:rFonts w:cs="Arial"/>
          <w:bCs/>
        </w:rPr>
      </w:pPr>
    </w:p>
    <w:p w:rsidR="00666506" w:rsidRDefault="00D67DD9" w:rsidP="00B26510">
      <w:pPr>
        <w:numPr>
          <w:ilvl w:val="0"/>
          <w:numId w:val="10"/>
        </w:numPr>
        <w:rPr>
          <w:rFonts w:cs="Arial"/>
          <w:bCs/>
        </w:rPr>
      </w:pPr>
      <w:r>
        <w:rPr>
          <w:rFonts w:cs="Arial"/>
          <w:bCs/>
        </w:rPr>
        <w:t>F</w:t>
      </w:r>
      <w:r w:rsidR="00CF3173">
        <w:rPr>
          <w:rFonts w:cs="Arial"/>
          <w:bCs/>
        </w:rPr>
        <w:t xml:space="preserve">or breaches affecting less than 25 individuals </w:t>
      </w:r>
      <w:r>
        <w:rPr>
          <w:rFonts w:cs="Arial"/>
          <w:bCs/>
        </w:rPr>
        <w:t xml:space="preserve">the risk assessment team </w:t>
      </w:r>
      <w:r w:rsidR="00666506">
        <w:rPr>
          <w:rFonts w:cs="Arial"/>
          <w:bCs/>
        </w:rPr>
        <w:t>will evaluate the extent of ha</w:t>
      </w:r>
      <w:r w:rsidR="00CF3173">
        <w:rPr>
          <w:rFonts w:cs="Arial"/>
          <w:bCs/>
        </w:rPr>
        <w:t>rm or potential harm done to:  t</w:t>
      </w:r>
      <w:r w:rsidR="00666506">
        <w:rPr>
          <w:rFonts w:cs="Arial"/>
          <w:bCs/>
        </w:rPr>
        <w:t>he patient; the integrity of the PHI, the systems, applications, da</w:t>
      </w:r>
      <w:r w:rsidR="00E9381A">
        <w:rPr>
          <w:rFonts w:cs="Arial"/>
          <w:bCs/>
        </w:rPr>
        <w:t>tabases, and network;</w:t>
      </w:r>
      <w:r w:rsidR="00666506">
        <w:rPr>
          <w:rFonts w:cs="Arial"/>
          <w:bCs/>
        </w:rPr>
        <w:t xml:space="preserve"> to Munson’s reputation, financial positi</w:t>
      </w:r>
      <w:r w:rsidR="0028123E">
        <w:rPr>
          <w:rFonts w:cs="Arial"/>
          <w:bCs/>
        </w:rPr>
        <w:t>on or market advan</w:t>
      </w:r>
      <w:r w:rsidR="00E9381A">
        <w:rPr>
          <w:rFonts w:cs="Arial"/>
          <w:bCs/>
        </w:rPr>
        <w:t xml:space="preserve">tage. </w:t>
      </w:r>
    </w:p>
    <w:p w:rsidR="00CF3173" w:rsidRDefault="00D67DD9" w:rsidP="00B26510">
      <w:pPr>
        <w:numPr>
          <w:ilvl w:val="0"/>
          <w:numId w:val="10"/>
        </w:numPr>
        <w:rPr>
          <w:rFonts w:cs="Arial"/>
          <w:bCs/>
        </w:rPr>
      </w:pPr>
      <w:r>
        <w:rPr>
          <w:rFonts w:cs="Arial"/>
          <w:bCs/>
        </w:rPr>
        <w:t>F</w:t>
      </w:r>
      <w:r w:rsidR="00CF3173">
        <w:rPr>
          <w:rFonts w:cs="Arial"/>
          <w:bCs/>
        </w:rPr>
        <w:t xml:space="preserve">or breaches affecting greater </w:t>
      </w:r>
      <w:r w:rsidR="006D59FE">
        <w:rPr>
          <w:rFonts w:cs="Arial"/>
          <w:bCs/>
        </w:rPr>
        <w:t xml:space="preserve">than 25 individuals and </w:t>
      </w:r>
      <w:r w:rsidR="00CF3173">
        <w:rPr>
          <w:rFonts w:cs="Arial"/>
          <w:bCs/>
        </w:rPr>
        <w:t>500</w:t>
      </w:r>
      <w:r w:rsidR="006D59FE">
        <w:rPr>
          <w:rFonts w:cs="Arial"/>
          <w:bCs/>
        </w:rPr>
        <w:t xml:space="preserve">+ </w:t>
      </w:r>
      <w:r w:rsidR="00CF3173">
        <w:rPr>
          <w:rFonts w:cs="Arial"/>
          <w:bCs/>
        </w:rPr>
        <w:t xml:space="preserve"> individuals </w:t>
      </w:r>
      <w:r>
        <w:rPr>
          <w:rFonts w:cs="Arial"/>
          <w:bCs/>
        </w:rPr>
        <w:t xml:space="preserve">the incident response team </w:t>
      </w:r>
      <w:r w:rsidR="00CF3173">
        <w:rPr>
          <w:rFonts w:cs="Arial"/>
          <w:bCs/>
        </w:rPr>
        <w:t xml:space="preserve">will review investigative data, seek to contain the damage, gather additional facts, determine notification requirements, prepare a response strategy, develop a corrective action plan, implement the plan, and monitor the corrective action plan. </w:t>
      </w:r>
    </w:p>
    <w:p w:rsidR="00666506" w:rsidRDefault="00666506" w:rsidP="00B26510">
      <w:pPr>
        <w:ind w:left="2142"/>
        <w:rPr>
          <w:rFonts w:cs="Arial"/>
          <w:bCs/>
        </w:rPr>
      </w:pPr>
      <w:r>
        <w:rPr>
          <w:rFonts w:cs="Arial"/>
          <w:bCs/>
        </w:rPr>
        <w:t> </w:t>
      </w:r>
    </w:p>
    <w:p w:rsidR="00666506" w:rsidRDefault="00666506" w:rsidP="00B26510">
      <w:pPr>
        <w:ind w:left="1422"/>
        <w:rPr>
          <w:rFonts w:cs="Arial"/>
          <w:b/>
        </w:rPr>
      </w:pPr>
      <w:r>
        <w:rPr>
          <w:rFonts w:cs="Arial"/>
          <w:b/>
        </w:rPr>
        <w:t>Patient/Complainant Mitigation</w:t>
      </w:r>
    </w:p>
    <w:p w:rsidR="00666506" w:rsidRDefault="00666506" w:rsidP="00B26510">
      <w:pPr>
        <w:ind w:left="2142"/>
        <w:rPr>
          <w:rFonts w:cs="Arial"/>
          <w:bCs/>
        </w:rPr>
      </w:pPr>
      <w:r>
        <w:rPr>
          <w:rFonts w:cs="Arial"/>
          <w:bCs/>
        </w:rPr>
        <w:t>Munson will take positive and reasonable actions to correct or minimize any identified privacy or security</w:t>
      </w:r>
      <w:r w:rsidR="00E9381A">
        <w:rPr>
          <w:rFonts w:cs="Arial"/>
          <w:bCs/>
        </w:rPr>
        <w:t xml:space="preserve"> violation impacting a patient, weighing the possible negative impact a breach notification letter may have on the patient, and whether the probability of risk to PHI is so low as to outweigh the benefits of notifying patient and hav</w:t>
      </w:r>
      <w:r w:rsidR="00CF3173">
        <w:rPr>
          <w:rFonts w:cs="Arial"/>
          <w:bCs/>
        </w:rPr>
        <w:t>ing an unnecessary and</w:t>
      </w:r>
      <w:r w:rsidR="00E9381A">
        <w:rPr>
          <w:rFonts w:cs="Arial"/>
          <w:bCs/>
        </w:rPr>
        <w:t xml:space="preserve"> stressful reaction to letter. </w:t>
      </w:r>
    </w:p>
    <w:p w:rsidR="00666506" w:rsidRDefault="00666506" w:rsidP="00B26510">
      <w:pPr>
        <w:ind w:left="2142"/>
        <w:rPr>
          <w:rFonts w:cs="Arial"/>
          <w:bCs/>
        </w:rPr>
      </w:pPr>
      <w:r>
        <w:rPr>
          <w:rFonts w:cs="Arial"/>
          <w:bCs/>
        </w:rPr>
        <w:t> </w:t>
      </w:r>
    </w:p>
    <w:p w:rsidR="00284B6D" w:rsidRPr="00284B6D" w:rsidRDefault="00666506" w:rsidP="00B26510">
      <w:pPr>
        <w:numPr>
          <w:ilvl w:val="0"/>
          <w:numId w:val="7"/>
        </w:numPr>
        <w:rPr>
          <w:sz w:val="22"/>
          <w:szCs w:val="22"/>
        </w:rPr>
      </w:pPr>
      <w:r>
        <w:rPr>
          <w:rFonts w:cs="Arial"/>
          <w:bCs/>
        </w:rPr>
        <w:t>Upon successful resolution of the</w:t>
      </w:r>
      <w:r>
        <w:rPr>
          <w:rFonts w:cs="Arial"/>
          <w:b/>
        </w:rPr>
        <w:t xml:space="preserve"> </w:t>
      </w:r>
      <w:r>
        <w:rPr>
          <w:rFonts w:cs="Arial"/>
          <w:bCs/>
        </w:rPr>
        <w:t>complaint, the Privacy Officer will provide the patient with a letter documenting the resolution</w:t>
      </w:r>
      <w:r w:rsidR="001768E0">
        <w:rPr>
          <w:rFonts w:cs="Arial"/>
          <w:bCs/>
        </w:rPr>
        <w:t>, in accordance w</w:t>
      </w:r>
      <w:r w:rsidR="00D96625">
        <w:rPr>
          <w:rFonts w:cs="Arial"/>
          <w:bCs/>
        </w:rPr>
        <w:t xml:space="preserve">ith </w:t>
      </w:r>
      <w:r w:rsidR="00D96625" w:rsidRPr="00D96625">
        <w:rPr>
          <w:rFonts w:cs="Arial"/>
          <w:bCs/>
          <w:u w:val="single"/>
        </w:rPr>
        <w:t>Complaint Management</w:t>
      </w:r>
      <w:r w:rsidR="00D96625">
        <w:rPr>
          <w:rFonts w:cs="Arial"/>
          <w:bCs/>
        </w:rPr>
        <w:t xml:space="preserve"> policy for policy breaches. Privacy breach notificat</w:t>
      </w:r>
      <w:r w:rsidR="00E9381A">
        <w:rPr>
          <w:rFonts w:cs="Arial"/>
          <w:bCs/>
        </w:rPr>
        <w:t>ion letters will follow the template guideline as provid</w:t>
      </w:r>
      <w:r w:rsidR="00284B6D">
        <w:rPr>
          <w:rFonts w:cs="Arial"/>
          <w:bCs/>
        </w:rPr>
        <w:t xml:space="preserve">ed by Health and Human Services.  </w:t>
      </w:r>
      <w:r w:rsidR="00284B6D">
        <w:rPr>
          <w:sz w:val="22"/>
          <w:szCs w:val="22"/>
        </w:rPr>
        <w:t>T</w:t>
      </w:r>
      <w:r w:rsidR="00284B6D" w:rsidRPr="00284B6D">
        <w:rPr>
          <w:sz w:val="22"/>
          <w:szCs w:val="22"/>
        </w:rPr>
        <w:t xml:space="preserve">he notification should be made via First Class Mail. Another appropriate method may be utilized where cases include insufficient or out-of-date contact information exists in accordance with HIPAA. </w:t>
      </w:r>
      <w:r w:rsidR="00284B6D">
        <w:rPr>
          <w:sz w:val="22"/>
          <w:szCs w:val="22"/>
        </w:rPr>
        <w:t>A</w:t>
      </w:r>
      <w:r w:rsidR="00284B6D" w:rsidRPr="00284B6D">
        <w:rPr>
          <w:sz w:val="22"/>
          <w:szCs w:val="22"/>
        </w:rPr>
        <w:t xml:space="preserve"> cou</w:t>
      </w:r>
      <w:r w:rsidR="00284B6D">
        <w:rPr>
          <w:sz w:val="22"/>
          <w:szCs w:val="22"/>
        </w:rPr>
        <w:t>rtesy phone call prior to mailing notification letter may occur.</w:t>
      </w:r>
      <w:r w:rsidR="00284B6D" w:rsidRPr="00284B6D">
        <w:rPr>
          <w:sz w:val="22"/>
          <w:szCs w:val="22"/>
        </w:rPr>
        <w:t xml:space="preserve"> The notification shall include:</w:t>
      </w:r>
    </w:p>
    <w:p w:rsidR="00284B6D" w:rsidRPr="00284B6D" w:rsidRDefault="00284B6D" w:rsidP="00B26510">
      <w:pPr>
        <w:rPr>
          <w:sz w:val="22"/>
          <w:szCs w:val="22"/>
        </w:rPr>
      </w:pPr>
    </w:p>
    <w:p w:rsidR="00284B6D" w:rsidRPr="00284B6D" w:rsidRDefault="00284B6D" w:rsidP="00B26510">
      <w:pPr>
        <w:numPr>
          <w:ilvl w:val="1"/>
          <w:numId w:val="7"/>
        </w:numPr>
        <w:tabs>
          <w:tab w:val="num" w:pos="1440"/>
        </w:tabs>
        <w:rPr>
          <w:sz w:val="22"/>
          <w:szCs w:val="22"/>
        </w:rPr>
      </w:pPr>
      <w:r w:rsidRPr="00284B6D">
        <w:rPr>
          <w:sz w:val="22"/>
          <w:szCs w:val="22"/>
        </w:rPr>
        <w:t xml:space="preserve">A brief description of the occurrence, including the date of the </w:t>
      </w:r>
      <w:r>
        <w:rPr>
          <w:sz w:val="22"/>
          <w:szCs w:val="22"/>
        </w:rPr>
        <w:t>b</w:t>
      </w:r>
      <w:r w:rsidRPr="00284B6D">
        <w:rPr>
          <w:sz w:val="22"/>
          <w:szCs w:val="22"/>
        </w:rPr>
        <w:t>reach and the date of discovery;</w:t>
      </w:r>
    </w:p>
    <w:p w:rsidR="00284B6D" w:rsidRPr="00284B6D" w:rsidRDefault="00284B6D" w:rsidP="00B26510">
      <w:pPr>
        <w:numPr>
          <w:ilvl w:val="1"/>
          <w:numId w:val="7"/>
        </w:numPr>
        <w:tabs>
          <w:tab w:val="num" w:pos="1440"/>
        </w:tabs>
        <w:rPr>
          <w:sz w:val="22"/>
          <w:szCs w:val="22"/>
        </w:rPr>
      </w:pPr>
      <w:r w:rsidRPr="00284B6D">
        <w:rPr>
          <w:sz w:val="22"/>
          <w:szCs w:val="22"/>
        </w:rPr>
        <w:t>A description of the types of unsecured protected health information involved (e.g., SSN, full name, DOB, etc.);</w:t>
      </w:r>
    </w:p>
    <w:p w:rsidR="00284B6D" w:rsidRPr="00284B6D" w:rsidRDefault="00284B6D" w:rsidP="00B26510">
      <w:pPr>
        <w:numPr>
          <w:ilvl w:val="1"/>
          <w:numId w:val="7"/>
        </w:numPr>
        <w:tabs>
          <w:tab w:val="num" w:pos="1440"/>
        </w:tabs>
        <w:rPr>
          <w:sz w:val="22"/>
          <w:szCs w:val="22"/>
        </w:rPr>
      </w:pPr>
      <w:r w:rsidRPr="00284B6D">
        <w:rPr>
          <w:sz w:val="22"/>
          <w:szCs w:val="22"/>
        </w:rPr>
        <w:t>Steps individuals should take to protect themselves from further harm;</w:t>
      </w:r>
    </w:p>
    <w:p w:rsidR="00284B6D" w:rsidRPr="00284B6D" w:rsidRDefault="00284B6D" w:rsidP="00B26510">
      <w:pPr>
        <w:numPr>
          <w:ilvl w:val="1"/>
          <w:numId w:val="7"/>
        </w:numPr>
        <w:tabs>
          <w:tab w:val="num" w:pos="1440"/>
        </w:tabs>
        <w:rPr>
          <w:sz w:val="22"/>
          <w:szCs w:val="22"/>
        </w:rPr>
      </w:pPr>
      <w:r>
        <w:rPr>
          <w:sz w:val="22"/>
          <w:szCs w:val="22"/>
        </w:rPr>
        <w:t>A brief description of the o</w:t>
      </w:r>
      <w:r w:rsidRPr="00284B6D">
        <w:rPr>
          <w:sz w:val="22"/>
          <w:szCs w:val="22"/>
        </w:rPr>
        <w:t xml:space="preserve">rganization’s efforts to investigate the </w:t>
      </w:r>
      <w:r>
        <w:rPr>
          <w:sz w:val="22"/>
          <w:szCs w:val="22"/>
        </w:rPr>
        <w:t>b</w:t>
      </w:r>
      <w:r w:rsidRPr="00284B6D">
        <w:rPr>
          <w:sz w:val="22"/>
          <w:szCs w:val="22"/>
        </w:rPr>
        <w:t xml:space="preserve">reach, mitigate losses (i.e., credit monitoring) and protect against further </w:t>
      </w:r>
      <w:r>
        <w:rPr>
          <w:sz w:val="22"/>
          <w:szCs w:val="22"/>
        </w:rPr>
        <w:t>b</w:t>
      </w:r>
      <w:r w:rsidRPr="00284B6D">
        <w:rPr>
          <w:sz w:val="22"/>
          <w:szCs w:val="22"/>
        </w:rPr>
        <w:t>reaches; and</w:t>
      </w:r>
    </w:p>
    <w:p w:rsidR="00284B6D" w:rsidRPr="00284B6D" w:rsidRDefault="00284B6D" w:rsidP="00B26510">
      <w:pPr>
        <w:numPr>
          <w:ilvl w:val="1"/>
          <w:numId w:val="7"/>
        </w:numPr>
        <w:tabs>
          <w:tab w:val="num" w:pos="1440"/>
        </w:tabs>
        <w:rPr>
          <w:sz w:val="22"/>
          <w:szCs w:val="22"/>
        </w:rPr>
      </w:pPr>
      <w:r w:rsidRPr="00284B6D">
        <w:rPr>
          <w:sz w:val="22"/>
          <w:szCs w:val="22"/>
        </w:rPr>
        <w:t>Contact procedures for questions which shall include a toll-free number, an e-mail address, website OR postal address.</w:t>
      </w:r>
    </w:p>
    <w:p w:rsidR="00666506" w:rsidRPr="006D59FE" w:rsidRDefault="00E9381A" w:rsidP="00B26510">
      <w:pPr>
        <w:ind w:left="2142"/>
        <w:rPr>
          <w:rFonts w:cs="Arial"/>
          <w:bCs/>
        </w:rPr>
      </w:pPr>
      <w:r>
        <w:rPr>
          <w:rFonts w:cs="Arial"/>
          <w:bCs/>
        </w:rPr>
        <w:t xml:space="preserve"> </w:t>
      </w:r>
    </w:p>
    <w:p w:rsidR="00666506" w:rsidRDefault="00666506" w:rsidP="00B26510">
      <w:pPr>
        <w:ind w:left="1422"/>
        <w:rPr>
          <w:rFonts w:cs="Arial"/>
          <w:b/>
        </w:rPr>
      </w:pPr>
      <w:r>
        <w:rPr>
          <w:rFonts w:cs="Arial"/>
          <w:b/>
        </w:rPr>
        <w:t>Organizational</w:t>
      </w:r>
      <w:r>
        <w:rPr>
          <w:rFonts w:cs="Arial"/>
          <w:b/>
          <w:bCs/>
        </w:rPr>
        <w:t xml:space="preserve"> Remediation</w:t>
      </w:r>
    </w:p>
    <w:p w:rsidR="00666506" w:rsidRDefault="0028123E" w:rsidP="00B26510">
      <w:pPr>
        <w:ind w:left="2142"/>
        <w:rPr>
          <w:rFonts w:cs="Arial"/>
          <w:bCs/>
        </w:rPr>
      </w:pPr>
      <w:r>
        <w:rPr>
          <w:rFonts w:cs="Arial"/>
          <w:bCs/>
        </w:rPr>
        <w:t xml:space="preserve">The Privacy and Security Officer </w:t>
      </w:r>
      <w:r w:rsidR="00E9381A">
        <w:rPr>
          <w:rFonts w:cs="Arial"/>
          <w:bCs/>
        </w:rPr>
        <w:t xml:space="preserve">and other management personnel, along with the </w:t>
      </w:r>
      <w:r w:rsidR="00284B6D">
        <w:rPr>
          <w:rFonts w:cs="Arial"/>
          <w:bCs/>
        </w:rPr>
        <w:t xml:space="preserve">Incident Response Team and </w:t>
      </w:r>
      <w:r w:rsidR="00E9381A">
        <w:rPr>
          <w:rFonts w:cs="Arial"/>
          <w:bCs/>
        </w:rPr>
        <w:t xml:space="preserve">Security Review Board, </w:t>
      </w:r>
      <w:r w:rsidR="00666506">
        <w:rPr>
          <w:rFonts w:cs="Arial"/>
          <w:bCs/>
        </w:rPr>
        <w:t xml:space="preserve">will evaluate each incident in terms of the strength of the controls in place to prevent re-occurrence of this type of incident. </w:t>
      </w:r>
    </w:p>
    <w:p w:rsidR="00666506" w:rsidRDefault="00666506" w:rsidP="00B26510">
      <w:pPr>
        <w:ind w:left="2142"/>
        <w:rPr>
          <w:rFonts w:cs="Arial"/>
          <w:bCs/>
          <w:u w:val="single"/>
        </w:rPr>
      </w:pPr>
    </w:p>
    <w:p w:rsidR="00666506" w:rsidRDefault="00284B6D" w:rsidP="00B26510">
      <w:pPr>
        <w:ind w:left="2142"/>
        <w:rPr>
          <w:rFonts w:cs="Arial"/>
          <w:bCs/>
        </w:rPr>
      </w:pPr>
      <w:r>
        <w:rPr>
          <w:rFonts w:cs="Arial"/>
          <w:bCs/>
        </w:rPr>
        <w:t>T</w:t>
      </w:r>
      <w:r w:rsidR="00666506">
        <w:rPr>
          <w:rFonts w:cs="Arial"/>
          <w:bCs/>
        </w:rPr>
        <w:t xml:space="preserve">he Privacy Officer and or Human Resources will </w:t>
      </w:r>
      <w:r>
        <w:rPr>
          <w:rFonts w:cs="Arial"/>
          <w:bCs/>
        </w:rPr>
        <w:t xml:space="preserve">determine HIPAA education needs for the employee involved in beach and </w:t>
      </w:r>
      <w:r w:rsidR="00666506">
        <w:rPr>
          <w:rFonts w:cs="Arial"/>
          <w:bCs/>
        </w:rPr>
        <w:t>inform the manager in</w:t>
      </w:r>
      <w:r>
        <w:rPr>
          <w:rFonts w:cs="Arial"/>
          <w:bCs/>
        </w:rPr>
        <w:t xml:space="preserve"> the appropriate department.</w:t>
      </w:r>
      <w:r w:rsidR="009E4C5A">
        <w:rPr>
          <w:rFonts w:cs="Arial"/>
          <w:bCs/>
        </w:rPr>
        <w:t xml:space="preserve"> Security improvements will be under the a</w:t>
      </w:r>
      <w:r w:rsidR="006D59FE">
        <w:rPr>
          <w:rFonts w:cs="Arial"/>
          <w:bCs/>
        </w:rPr>
        <w:t xml:space="preserve">uthorization of the IS Director and Security Officer. </w:t>
      </w:r>
      <w:r w:rsidR="009E4C5A">
        <w:rPr>
          <w:rFonts w:cs="Arial"/>
          <w:bCs/>
        </w:rPr>
        <w:t xml:space="preserve"> </w:t>
      </w:r>
      <w:r w:rsidR="00D67DD9" w:rsidRPr="00787563">
        <w:rPr>
          <w:sz w:val="22"/>
          <w:szCs w:val="22"/>
        </w:rPr>
        <w:t>If controls are weak or if workforce members are not properly trained, the Privacy Official will inform the manager in the appropriate department and make</w:t>
      </w:r>
      <w:r w:rsidR="006D59FE">
        <w:rPr>
          <w:sz w:val="22"/>
          <w:szCs w:val="22"/>
        </w:rPr>
        <w:t xml:space="preserve"> recommendations for re-education.</w:t>
      </w:r>
    </w:p>
    <w:p w:rsidR="00666506" w:rsidRDefault="00666506" w:rsidP="00B26510">
      <w:pPr>
        <w:ind w:left="2142"/>
        <w:rPr>
          <w:rFonts w:cs="Arial"/>
          <w:bCs/>
          <w:u w:val="single"/>
        </w:rPr>
      </w:pPr>
    </w:p>
    <w:p w:rsidR="00666506" w:rsidRDefault="00666506" w:rsidP="00B26510">
      <w:pPr>
        <w:ind w:left="1422"/>
        <w:rPr>
          <w:rFonts w:cs="Arial"/>
          <w:b/>
        </w:rPr>
      </w:pPr>
      <w:r>
        <w:rPr>
          <w:rFonts w:cs="Arial"/>
          <w:b/>
        </w:rPr>
        <w:t>Disciplinary Action</w:t>
      </w:r>
    </w:p>
    <w:p w:rsidR="00666506" w:rsidRDefault="00666506" w:rsidP="00B26510">
      <w:pPr>
        <w:ind w:left="2142"/>
        <w:rPr>
          <w:rFonts w:cs="Arial"/>
          <w:bCs/>
        </w:rPr>
      </w:pPr>
      <w:r>
        <w:rPr>
          <w:rFonts w:cs="Arial"/>
          <w:bCs/>
        </w:rPr>
        <w:t>For incidents involving misconduct by M</w:t>
      </w:r>
      <w:r w:rsidR="0028123E">
        <w:rPr>
          <w:rFonts w:cs="Arial"/>
          <w:bCs/>
        </w:rPr>
        <w:t>unson workforce members, the Privacy Office</w:t>
      </w:r>
      <w:r>
        <w:rPr>
          <w:rFonts w:cs="Arial"/>
          <w:bCs/>
        </w:rPr>
        <w:t xml:space="preserve"> will discuss the results of the investigation with the Human Resources Director and the workforce member’s manager and will recommend an appropriate disciplinary action consistent w</w:t>
      </w:r>
      <w:r w:rsidR="0028123E">
        <w:rPr>
          <w:rFonts w:cs="Arial"/>
          <w:bCs/>
        </w:rPr>
        <w:t>ith Munson sanctions policy and other Human Resource policy.</w:t>
      </w:r>
      <w:r w:rsidR="006D59FE">
        <w:rPr>
          <w:rFonts w:cs="Arial"/>
          <w:bCs/>
        </w:rPr>
        <w:t xml:space="preserve"> This is a recommendation only, as final authority rests with Human Resources. </w:t>
      </w:r>
    </w:p>
    <w:p w:rsidR="00666506" w:rsidRDefault="00666506" w:rsidP="00B26510">
      <w:pPr>
        <w:ind w:left="2142"/>
        <w:rPr>
          <w:rFonts w:cs="Arial"/>
          <w:b/>
          <w:u w:val="single"/>
        </w:rPr>
      </w:pPr>
    </w:p>
    <w:p w:rsidR="00666506" w:rsidRDefault="00666506" w:rsidP="00B26510">
      <w:pPr>
        <w:ind w:left="2142"/>
        <w:rPr>
          <w:rFonts w:cs="Arial"/>
          <w:bCs/>
        </w:rPr>
      </w:pPr>
      <w:r>
        <w:rPr>
          <w:rFonts w:cs="Arial"/>
          <w:bCs/>
        </w:rPr>
        <w:t xml:space="preserve">For incidents involving members of Munson’s medical staff, the Privacy Officer will notify the MDIS </w:t>
      </w:r>
      <w:r w:rsidR="00D96625">
        <w:rPr>
          <w:rFonts w:cs="Arial"/>
          <w:bCs/>
        </w:rPr>
        <w:t>and assist in obtaining investigative reports and audits. The Medical Leadership Committee</w:t>
      </w:r>
      <w:r>
        <w:rPr>
          <w:rFonts w:cs="Arial"/>
          <w:bCs/>
        </w:rPr>
        <w:t xml:space="preserve"> </w:t>
      </w:r>
      <w:r w:rsidR="00D96625">
        <w:rPr>
          <w:rFonts w:cs="Arial"/>
          <w:bCs/>
        </w:rPr>
        <w:t xml:space="preserve">will make disciplinary recommendation to the Medical Executive Committee </w:t>
      </w:r>
      <w:r>
        <w:rPr>
          <w:rFonts w:cs="Arial"/>
          <w:bCs/>
        </w:rPr>
        <w:t>for determination of appropriate discipli</w:t>
      </w:r>
      <w:r w:rsidR="00B022A6">
        <w:rPr>
          <w:rFonts w:cs="Arial"/>
          <w:bCs/>
        </w:rPr>
        <w:t xml:space="preserve">nary action according to their bylaws. </w:t>
      </w:r>
      <w:r>
        <w:rPr>
          <w:rFonts w:cs="Arial"/>
          <w:bCs/>
        </w:rPr>
        <w:t xml:space="preserve"> </w:t>
      </w:r>
    </w:p>
    <w:p w:rsidR="00666506" w:rsidRDefault="00666506" w:rsidP="00B26510">
      <w:pPr>
        <w:ind w:left="2142"/>
        <w:rPr>
          <w:rFonts w:cs="Arial"/>
          <w:b/>
          <w:u w:val="single"/>
        </w:rPr>
      </w:pPr>
    </w:p>
    <w:p w:rsidR="00666506" w:rsidRDefault="00666506" w:rsidP="00B26510">
      <w:pPr>
        <w:ind w:left="2142"/>
        <w:rPr>
          <w:rFonts w:cs="Arial"/>
          <w:bCs/>
        </w:rPr>
      </w:pPr>
      <w:r>
        <w:rPr>
          <w:rFonts w:cs="Arial"/>
          <w:bCs/>
        </w:rPr>
        <w:t>For incident</w:t>
      </w:r>
      <w:r w:rsidR="00B022A6">
        <w:rPr>
          <w:rFonts w:cs="Arial"/>
          <w:bCs/>
        </w:rPr>
        <w:t>s involving independent office staff, the physician office manager will determine the necessary disciplinary actions, including re-education, to written warning to t</w:t>
      </w:r>
      <w:r w:rsidR="006D59FE">
        <w:rPr>
          <w:rFonts w:cs="Arial"/>
          <w:bCs/>
        </w:rPr>
        <w:t xml:space="preserve">ermination. </w:t>
      </w:r>
      <w:r w:rsidR="00454336">
        <w:rPr>
          <w:rFonts w:cs="Arial"/>
          <w:bCs/>
        </w:rPr>
        <w:t xml:space="preserve">Appropriate sanctions are addressed in the BAA. </w:t>
      </w:r>
      <w:r w:rsidR="00B022A6">
        <w:rPr>
          <w:rFonts w:cs="Arial"/>
          <w:bCs/>
        </w:rPr>
        <w:t xml:space="preserve"> </w:t>
      </w:r>
    </w:p>
    <w:p w:rsidR="00B022A6" w:rsidRDefault="00B022A6" w:rsidP="00B26510">
      <w:pPr>
        <w:ind w:left="2142"/>
        <w:rPr>
          <w:rFonts w:cs="Arial"/>
          <w:bCs/>
        </w:rPr>
      </w:pPr>
    </w:p>
    <w:p w:rsidR="00666506" w:rsidRDefault="00666506" w:rsidP="00B26510">
      <w:pPr>
        <w:ind w:left="1422"/>
        <w:rPr>
          <w:rFonts w:cs="Arial"/>
          <w:b/>
        </w:rPr>
      </w:pPr>
      <w:r>
        <w:rPr>
          <w:rFonts w:cs="Arial"/>
          <w:b/>
        </w:rPr>
        <w:t>Notification/Ongoing Communication</w:t>
      </w:r>
    </w:p>
    <w:p w:rsidR="00666506" w:rsidRDefault="00666506" w:rsidP="00B26510">
      <w:pPr>
        <w:ind w:left="2142"/>
        <w:rPr>
          <w:rFonts w:cs="Arial"/>
          <w:bCs/>
        </w:rPr>
      </w:pPr>
      <w:r>
        <w:rPr>
          <w:rFonts w:cs="Arial"/>
          <w:bCs/>
        </w:rPr>
        <w:t>Patients and others who make a complaint about a privacy or security incident will be informed about Munson’s incident investigation process and notified in a timely fashion about the receipt of their complaint and the status of the investigation.</w:t>
      </w:r>
    </w:p>
    <w:p w:rsidR="00666506" w:rsidRDefault="00666506" w:rsidP="00B26510">
      <w:pPr>
        <w:ind w:left="2142"/>
        <w:rPr>
          <w:rFonts w:cs="Arial"/>
          <w:b/>
          <w:u w:val="single"/>
        </w:rPr>
      </w:pPr>
    </w:p>
    <w:p w:rsidR="00666506" w:rsidRDefault="00666506" w:rsidP="00B26510">
      <w:pPr>
        <w:ind w:left="2142"/>
        <w:rPr>
          <w:rFonts w:cs="Arial"/>
          <w:bCs/>
        </w:rPr>
      </w:pPr>
      <w:r>
        <w:rPr>
          <w:rFonts w:cs="Arial"/>
          <w:bCs/>
        </w:rPr>
        <w:t>The Privacy Offi</w:t>
      </w:r>
      <w:r w:rsidR="0028123E">
        <w:rPr>
          <w:rFonts w:cs="Arial"/>
          <w:bCs/>
        </w:rPr>
        <w:t xml:space="preserve">ce will oversee auditing and </w:t>
      </w:r>
      <w:r>
        <w:rPr>
          <w:rFonts w:cs="Arial"/>
          <w:bCs/>
        </w:rPr>
        <w:t>notification plan for informing appropriate internal management and staff about known or suspected incidents.</w:t>
      </w:r>
    </w:p>
    <w:p w:rsidR="00666506" w:rsidRDefault="00666506" w:rsidP="00B26510">
      <w:pPr>
        <w:ind w:left="2142"/>
        <w:rPr>
          <w:rFonts w:cs="Arial"/>
          <w:b/>
          <w:u w:val="single"/>
        </w:rPr>
      </w:pPr>
    </w:p>
    <w:p w:rsidR="00666506" w:rsidRDefault="00666506" w:rsidP="00B26510">
      <w:pPr>
        <w:ind w:left="2142"/>
        <w:rPr>
          <w:rFonts w:cs="Arial"/>
          <w:bCs/>
        </w:rPr>
      </w:pPr>
      <w:r>
        <w:rPr>
          <w:rFonts w:cs="Arial"/>
          <w:bCs/>
        </w:rPr>
        <w:t xml:space="preserve">Correspondence with outside authorities such as </w:t>
      </w:r>
      <w:r w:rsidR="009E4C5A">
        <w:rPr>
          <w:rFonts w:cs="Arial"/>
          <w:bCs/>
        </w:rPr>
        <w:t xml:space="preserve">OCR, </w:t>
      </w:r>
      <w:r>
        <w:rPr>
          <w:rFonts w:cs="Arial"/>
          <w:bCs/>
        </w:rPr>
        <w:t xml:space="preserve">local police and the FBI regarding privacy or security incidents will be handled by the </w:t>
      </w:r>
      <w:r w:rsidR="00454336">
        <w:rPr>
          <w:rFonts w:cs="Arial"/>
          <w:bCs/>
        </w:rPr>
        <w:t>Privacy Office, after</w:t>
      </w:r>
      <w:r w:rsidR="009E4C5A">
        <w:rPr>
          <w:rFonts w:cs="Arial"/>
          <w:bCs/>
        </w:rPr>
        <w:t xml:space="preserve"> consultation from L</w:t>
      </w:r>
      <w:r>
        <w:rPr>
          <w:rFonts w:cs="Arial"/>
          <w:bCs/>
        </w:rPr>
        <w:t>egal and/or Risk Management departments.</w:t>
      </w:r>
    </w:p>
    <w:p w:rsidR="00666506" w:rsidRPr="00D67DD9" w:rsidRDefault="00666506" w:rsidP="00B26510">
      <w:pPr>
        <w:ind w:left="2142"/>
        <w:rPr>
          <w:rFonts w:cs="Arial"/>
          <w:bCs/>
          <w:u w:val="single"/>
        </w:rPr>
      </w:pPr>
    </w:p>
    <w:p w:rsidR="00666506" w:rsidRDefault="009E4C5A" w:rsidP="00B26510">
      <w:pPr>
        <w:ind w:left="2142"/>
        <w:rPr>
          <w:rFonts w:cs="Arial"/>
          <w:bCs/>
        </w:rPr>
      </w:pPr>
      <w:r>
        <w:rPr>
          <w:rFonts w:cs="Arial"/>
          <w:bCs/>
        </w:rPr>
        <w:t>Privacy and S</w:t>
      </w:r>
      <w:r w:rsidR="00666506">
        <w:rPr>
          <w:rFonts w:cs="Arial"/>
          <w:bCs/>
        </w:rPr>
        <w:t>ecurity incidents will be reported</w:t>
      </w:r>
      <w:r>
        <w:rPr>
          <w:rFonts w:cs="Arial"/>
          <w:bCs/>
        </w:rPr>
        <w:t xml:space="preserve"> to Administration periodically; incidents affecting over twenty five individuals will be reported immediately to Administration and to Information Systems Director. </w:t>
      </w:r>
      <w:r w:rsidR="00666506">
        <w:rPr>
          <w:rFonts w:cs="Arial"/>
          <w:bCs/>
        </w:rPr>
        <w:t xml:space="preserve"> </w:t>
      </w:r>
    </w:p>
    <w:p w:rsidR="00666506" w:rsidRDefault="00666506" w:rsidP="00B26510">
      <w:pPr>
        <w:ind w:left="2142"/>
        <w:rPr>
          <w:rFonts w:cs="Arial"/>
          <w:bCs/>
        </w:rPr>
      </w:pPr>
      <w:r>
        <w:rPr>
          <w:rFonts w:cs="Arial"/>
          <w:bCs/>
        </w:rPr>
        <w:t> </w:t>
      </w:r>
    </w:p>
    <w:p w:rsidR="0028123E" w:rsidRDefault="00D96625" w:rsidP="00B26510">
      <w:pPr>
        <w:ind w:left="2142"/>
        <w:rPr>
          <w:rFonts w:cs="Arial"/>
          <w:bCs/>
        </w:rPr>
      </w:pPr>
      <w:r>
        <w:rPr>
          <w:rFonts w:cs="Arial"/>
          <w:bCs/>
        </w:rPr>
        <w:t>Privacy Office will report l</w:t>
      </w:r>
      <w:r w:rsidR="0028123E">
        <w:rPr>
          <w:rFonts w:cs="Arial"/>
          <w:bCs/>
        </w:rPr>
        <w:t xml:space="preserve">etters </w:t>
      </w:r>
      <w:r>
        <w:rPr>
          <w:rFonts w:cs="Arial"/>
          <w:bCs/>
        </w:rPr>
        <w:t xml:space="preserve">received </w:t>
      </w:r>
      <w:r w:rsidR="0028123E">
        <w:rPr>
          <w:rFonts w:cs="Arial"/>
          <w:bCs/>
        </w:rPr>
        <w:t>from Office of Civil Rights regarding priv</w:t>
      </w:r>
      <w:r>
        <w:rPr>
          <w:rFonts w:cs="Arial"/>
          <w:bCs/>
        </w:rPr>
        <w:t xml:space="preserve">acy complaints </w:t>
      </w:r>
      <w:r w:rsidR="0028123E">
        <w:rPr>
          <w:rFonts w:cs="Arial"/>
          <w:bCs/>
        </w:rPr>
        <w:t>to Information Syst</w:t>
      </w:r>
      <w:r w:rsidR="00050CEE">
        <w:rPr>
          <w:rFonts w:cs="Arial"/>
          <w:bCs/>
        </w:rPr>
        <w:t xml:space="preserve">ems Director and Legal Counsel and will coordinate a response to Office of Civil Rights in collaboration with Legal Counsel. </w:t>
      </w:r>
    </w:p>
    <w:p w:rsidR="00666506" w:rsidRDefault="00666506" w:rsidP="00B26510">
      <w:pPr>
        <w:ind w:left="2160"/>
        <w:rPr>
          <w:rFonts w:cs="Arial"/>
          <w:bCs/>
        </w:rPr>
      </w:pPr>
      <w:r>
        <w:rPr>
          <w:rFonts w:cs="Arial"/>
          <w:bCs/>
        </w:rPr>
        <w:t> </w:t>
      </w:r>
    </w:p>
    <w:p w:rsidR="00666506" w:rsidRDefault="00666506" w:rsidP="00B26510">
      <w:pPr>
        <w:ind w:left="1422"/>
        <w:rPr>
          <w:rFonts w:cs="Arial"/>
          <w:bCs/>
        </w:rPr>
      </w:pPr>
      <w:r>
        <w:rPr>
          <w:rFonts w:cs="Arial"/>
          <w:b/>
        </w:rPr>
        <w:t>Document Retention</w:t>
      </w:r>
    </w:p>
    <w:p w:rsidR="00666506" w:rsidRDefault="00666506" w:rsidP="00B26510">
      <w:pPr>
        <w:ind w:left="2142"/>
        <w:rPr>
          <w:rFonts w:cs="Arial"/>
          <w:bCs/>
        </w:rPr>
      </w:pPr>
      <w:r>
        <w:rPr>
          <w:rFonts w:cs="Arial"/>
          <w:bCs/>
        </w:rPr>
        <w:t>All documents (information collected on each privacy and security incident, etc.) required under this procedure will be retained, at a minimum, for six (6) years from the date of their creation or the date when they were last effective, whichever is the latest date.  No documents will be destroyed before consultation with Privacy Office and/or legal counsel.</w:t>
      </w:r>
    </w:p>
    <w:p w:rsidR="00045D81" w:rsidRDefault="00045D81" w:rsidP="00B26510">
      <w:pPr>
        <w:ind w:left="2142"/>
        <w:rPr>
          <w:rFonts w:cs="Arial"/>
          <w:bCs/>
        </w:rPr>
      </w:pPr>
    </w:p>
    <w:p w:rsidR="00887750" w:rsidRDefault="00887750" w:rsidP="00B26510">
      <w:pPr>
        <w:ind w:left="2142"/>
        <w:rPr>
          <w:rFonts w:cs="Arial"/>
        </w:rPr>
      </w:pPr>
    </w:p>
    <w:p w:rsidR="00887750" w:rsidRDefault="00887750" w:rsidP="00B26510">
      <w:pPr>
        <w:ind w:left="2142"/>
        <w:rPr>
          <w:rFonts w:cs="Arial"/>
          <w:bCs/>
          <w:u w:val="single"/>
        </w:rPr>
      </w:pPr>
    </w:p>
    <w:sectPr w:rsidR="00887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0026C"/>
    <w:multiLevelType w:val="hybridMultilevel"/>
    <w:tmpl w:val="2FC065D0"/>
    <w:lvl w:ilvl="0" w:tplc="04090019">
      <w:start w:val="1"/>
      <w:numFmt w:val="lowerLetter"/>
      <w:lvlText w:val="%1."/>
      <w:lvlJc w:val="left"/>
      <w:pPr>
        <w:tabs>
          <w:tab w:val="num" w:pos="2502"/>
        </w:tabs>
        <w:ind w:left="2502" w:hanging="360"/>
      </w:pPr>
      <w:rPr>
        <w:rFonts w:hint="default"/>
      </w:rPr>
    </w:lvl>
    <w:lvl w:ilvl="1" w:tplc="04090001">
      <w:start w:val="1"/>
      <w:numFmt w:val="bullet"/>
      <w:lvlText w:val=""/>
      <w:lvlJc w:val="left"/>
      <w:pPr>
        <w:tabs>
          <w:tab w:val="num" w:pos="3222"/>
        </w:tabs>
        <w:ind w:left="3222" w:hanging="360"/>
      </w:pPr>
      <w:rPr>
        <w:rFonts w:ascii="Symbol" w:hAnsi="Symbol" w:hint="default"/>
      </w:rPr>
    </w:lvl>
    <w:lvl w:ilvl="2" w:tplc="0409001B">
      <w:start w:val="1"/>
      <w:numFmt w:val="lowerRoman"/>
      <w:lvlText w:val="%3."/>
      <w:lvlJc w:val="right"/>
      <w:pPr>
        <w:tabs>
          <w:tab w:val="num" w:pos="3942"/>
        </w:tabs>
        <w:ind w:left="3942" w:hanging="180"/>
      </w:pPr>
    </w:lvl>
    <w:lvl w:ilvl="3" w:tplc="0409000F">
      <w:start w:val="1"/>
      <w:numFmt w:val="decimal"/>
      <w:lvlText w:val="%4."/>
      <w:lvlJc w:val="left"/>
      <w:pPr>
        <w:tabs>
          <w:tab w:val="num" w:pos="4662"/>
        </w:tabs>
        <w:ind w:left="4662" w:hanging="360"/>
      </w:pPr>
    </w:lvl>
    <w:lvl w:ilvl="4" w:tplc="04090019" w:tentative="1">
      <w:start w:val="1"/>
      <w:numFmt w:val="lowerLetter"/>
      <w:lvlText w:val="%5."/>
      <w:lvlJc w:val="left"/>
      <w:pPr>
        <w:tabs>
          <w:tab w:val="num" w:pos="5382"/>
        </w:tabs>
        <w:ind w:left="5382" w:hanging="360"/>
      </w:pPr>
    </w:lvl>
    <w:lvl w:ilvl="5" w:tplc="0409001B" w:tentative="1">
      <w:start w:val="1"/>
      <w:numFmt w:val="lowerRoman"/>
      <w:lvlText w:val="%6."/>
      <w:lvlJc w:val="right"/>
      <w:pPr>
        <w:tabs>
          <w:tab w:val="num" w:pos="6102"/>
        </w:tabs>
        <w:ind w:left="6102" w:hanging="180"/>
      </w:pPr>
    </w:lvl>
    <w:lvl w:ilvl="6" w:tplc="0409000F" w:tentative="1">
      <w:start w:val="1"/>
      <w:numFmt w:val="decimal"/>
      <w:lvlText w:val="%7."/>
      <w:lvlJc w:val="left"/>
      <w:pPr>
        <w:tabs>
          <w:tab w:val="num" w:pos="6822"/>
        </w:tabs>
        <w:ind w:left="6822" w:hanging="360"/>
      </w:pPr>
    </w:lvl>
    <w:lvl w:ilvl="7" w:tplc="04090019" w:tentative="1">
      <w:start w:val="1"/>
      <w:numFmt w:val="lowerLetter"/>
      <w:lvlText w:val="%8."/>
      <w:lvlJc w:val="left"/>
      <w:pPr>
        <w:tabs>
          <w:tab w:val="num" w:pos="7542"/>
        </w:tabs>
        <w:ind w:left="7542" w:hanging="360"/>
      </w:pPr>
    </w:lvl>
    <w:lvl w:ilvl="8" w:tplc="0409001B" w:tentative="1">
      <w:start w:val="1"/>
      <w:numFmt w:val="lowerRoman"/>
      <w:lvlText w:val="%9."/>
      <w:lvlJc w:val="right"/>
      <w:pPr>
        <w:tabs>
          <w:tab w:val="num" w:pos="8262"/>
        </w:tabs>
        <w:ind w:left="8262" w:hanging="180"/>
      </w:pPr>
    </w:lvl>
  </w:abstractNum>
  <w:abstractNum w:abstractNumId="1">
    <w:nsid w:val="05B23AA3"/>
    <w:multiLevelType w:val="hybridMultilevel"/>
    <w:tmpl w:val="B328AFD0"/>
    <w:lvl w:ilvl="0" w:tplc="F348B0A8">
      <w:start w:val="1"/>
      <w:numFmt w:val="decimal"/>
      <w:lvlText w:val="%1)"/>
      <w:lvlJc w:val="left"/>
      <w:pPr>
        <w:ind w:left="2430" w:hanging="360"/>
      </w:pPr>
      <w:rPr>
        <w:rFonts w:hint="default"/>
        <w:b/>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
    <w:nsid w:val="1C690E9A"/>
    <w:multiLevelType w:val="hybridMultilevel"/>
    <w:tmpl w:val="86FA9378"/>
    <w:lvl w:ilvl="0" w:tplc="7C60F42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nsid w:val="1D197CD7"/>
    <w:multiLevelType w:val="hybridMultilevel"/>
    <w:tmpl w:val="5C7C7EFA"/>
    <w:lvl w:ilvl="0" w:tplc="D9261A7C">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nsid w:val="1FF93973"/>
    <w:multiLevelType w:val="hybridMultilevel"/>
    <w:tmpl w:val="37728F58"/>
    <w:lvl w:ilvl="0" w:tplc="693EDCC0">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
    <w:nsid w:val="23F1179D"/>
    <w:multiLevelType w:val="hybridMultilevel"/>
    <w:tmpl w:val="E1EC9FD8"/>
    <w:lvl w:ilvl="0" w:tplc="A6DA97D2">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
    <w:nsid w:val="39221678"/>
    <w:multiLevelType w:val="hybridMultilevel"/>
    <w:tmpl w:val="382075D4"/>
    <w:lvl w:ilvl="0" w:tplc="04090001">
      <w:start w:val="1"/>
      <w:numFmt w:val="bullet"/>
      <w:lvlText w:val=""/>
      <w:lvlJc w:val="left"/>
      <w:pPr>
        <w:tabs>
          <w:tab w:val="num" w:pos="1980"/>
        </w:tabs>
        <w:ind w:left="1980" w:hanging="360"/>
      </w:pPr>
      <w:rPr>
        <w:rFonts w:ascii="Symbol" w:hAnsi="Symbol" w:hint="default"/>
      </w:rPr>
    </w:lvl>
    <w:lvl w:ilvl="1" w:tplc="04090003">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7">
    <w:nsid w:val="3D941ED7"/>
    <w:multiLevelType w:val="hybridMultilevel"/>
    <w:tmpl w:val="01F446C6"/>
    <w:lvl w:ilvl="0" w:tplc="129C3238">
      <w:start w:val="1"/>
      <w:numFmt w:val="low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8">
    <w:nsid w:val="520A0F9E"/>
    <w:multiLevelType w:val="hybridMultilevel"/>
    <w:tmpl w:val="A35A35B8"/>
    <w:lvl w:ilvl="0" w:tplc="A2C25D8E">
      <w:start w:val="1"/>
      <w:numFmt w:val="decimal"/>
      <w:lvlText w:val="%1)"/>
      <w:lvlJc w:val="left"/>
      <w:pPr>
        <w:ind w:left="2502" w:hanging="360"/>
      </w:pPr>
      <w:rPr>
        <w:rFonts w:hint="default"/>
      </w:rPr>
    </w:lvl>
    <w:lvl w:ilvl="1" w:tplc="04090019" w:tentative="1">
      <w:start w:val="1"/>
      <w:numFmt w:val="lowerLetter"/>
      <w:lvlText w:val="%2."/>
      <w:lvlJc w:val="left"/>
      <w:pPr>
        <w:ind w:left="3222" w:hanging="360"/>
      </w:pPr>
    </w:lvl>
    <w:lvl w:ilvl="2" w:tplc="0409001B" w:tentative="1">
      <w:start w:val="1"/>
      <w:numFmt w:val="lowerRoman"/>
      <w:lvlText w:val="%3."/>
      <w:lvlJc w:val="right"/>
      <w:pPr>
        <w:ind w:left="3942" w:hanging="180"/>
      </w:pPr>
    </w:lvl>
    <w:lvl w:ilvl="3" w:tplc="0409000F" w:tentative="1">
      <w:start w:val="1"/>
      <w:numFmt w:val="decimal"/>
      <w:lvlText w:val="%4."/>
      <w:lvlJc w:val="left"/>
      <w:pPr>
        <w:ind w:left="4662" w:hanging="360"/>
      </w:pPr>
    </w:lvl>
    <w:lvl w:ilvl="4" w:tplc="04090019" w:tentative="1">
      <w:start w:val="1"/>
      <w:numFmt w:val="lowerLetter"/>
      <w:lvlText w:val="%5."/>
      <w:lvlJc w:val="left"/>
      <w:pPr>
        <w:ind w:left="5382" w:hanging="360"/>
      </w:pPr>
    </w:lvl>
    <w:lvl w:ilvl="5" w:tplc="0409001B" w:tentative="1">
      <w:start w:val="1"/>
      <w:numFmt w:val="lowerRoman"/>
      <w:lvlText w:val="%6."/>
      <w:lvlJc w:val="right"/>
      <w:pPr>
        <w:ind w:left="6102" w:hanging="180"/>
      </w:pPr>
    </w:lvl>
    <w:lvl w:ilvl="6" w:tplc="0409000F" w:tentative="1">
      <w:start w:val="1"/>
      <w:numFmt w:val="decimal"/>
      <w:lvlText w:val="%7."/>
      <w:lvlJc w:val="left"/>
      <w:pPr>
        <w:ind w:left="6822" w:hanging="360"/>
      </w:pPr>
    </w:lvl>
    <w:lvl w:ilvl="7" w:tplc="04090019" w:tentative="1">
      <w:start w:val="1"/>
      <w:numFmt w:val="lowerLetter"/>
      <w:lvlText w:val="%8."/>
      <w:lvlJc w:val="left"/>
      <w:pPr>
        <w:ind w:left="7542" w:hanging="360"/>
      </w:pPr>
    </w:lvl>
    <w:lvl w:ilvl="8" w:tplc="0409001B" w:tentative="1">
      <w:start w:val="1"/>
      <w:numFmt w:val="lowerRoman"/>
      <w:lvlText w:val="%9."/>
      <w:lvlJc w:val="right"/>
      <w:pPr>
        <w:ind w:left="8262" w:hanging="180"/>
      </w:pPr>
    </w:lvl>
  </w:abstractNum>
  <w:abstractNum w:abstractNumId="9">
    <w:nsid w:val="588B21B3"/>
    <w:multiLevelType w:val="hybridMultilevel"/>
    <w:tmpl w:val="1926207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6A1E555A"/>
    <w:multiLevelType w:val="hybridMultilevel"/>
    <w:tmpl w:val="01F446C6"/>
    <w:lvl w:ilvl="0" w:tplc="129C3238">
      <w:start w:val="1"/>
      <w:numFmt w:val="low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nsid w:val="70024607"/>
    <w:multiLevelType w:val="hybridMultilevel"/>
    <w:tmpl w:val="01F446C6"/>
    <w:lvl w:ilvl="0" w:tplc="129C3238">
      <w:start w:val="1"/>
      <w:numFmt w:val="low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2">
    <w:nsid w:val="75ED4E4F"/>
    <w:multiLevelType w:val="hybridMultilevel"/>
    <w:tmpl w:val="60EA6082"/>
    <w:lvl w:ilvl="0" w:tplc="A290204C">
      <w:start w:val="1"/>
      <w:numFmt w:val="decimal"/>
      <w:lvlText w:val="%1."/>
      <w:lvlJc w:val="left"/>
      <w:pPr>
        <w:ind w:left="2862" w:hanging="360"/>
      </w:pPr>
      <w:rPr>
        <w:rFonts w:hint="default"/>
      </w:rPr>
    </w:lvl>
    <w:lvl w:ilvl="1" w:tplc="04090019" w:tentative="1">
      <w:start w:val="1"/>
      <w:numFmt w:val="lowerLetter"/>
      <w:lvlText w:val="%2."/>
      <w:lvlJc w:val="left"/>
      <w:pPr>
        <w:ind w:left="3582" w:hanging="360"/>
      </w:pPr>
    </w:lvl>
    <w:lvl w:ilvl="2" w:tplc="0409001B" w:tentative="1">
      <w:start w:val="1"/>
      <w:numFmt w:val="lowerRoman"/>
      <w:lvlText w:val="%3."/>
      <w:lvlJc w:val="right"/>
      <w:pPr>
        <w:ind w:left="4302" w:hanging="180"/>
      </w:pPr>
    </w:lvl>
    <w:lvl w:ilvl="3" w:tplc="0409000F" w:tentative="1">
      <w:start w:val="1"/>
      <w:numFmt w:val="decimal"/>
      <w:lvlText w:val="%4."/>
      <w:lvlJc w:val="left"/>
      <w:pPr>
        <w:ind w:left="5022" w:hanging="360"/>
      </w:pPr>
    </w:lvl>
    <w:lvl w:ilvl="4" w:tplc="04090019" w:tentative="1">
      <w:start w:val="1"/>
      <w:numFmt w:val="lowerLetter"/>
      <w:lvlText w:val="%5."/>
      <w:lvlJc w:val="left"/>
      <w:pPr>
        <w:ind w:left="5742" w:hanging="360"/>
      </w:pPr>
    </w:lvl>
    <w:lvl w:ilvl="5" w:tplc="0409001B" w:tentative="1">
      <w:start w:val="1"/>
      <w:numFmt w:val="lowerRoman"/>
      <w:lvlText w:val="%6."/>
      <w:lvlJc w:val="right"/>
      <w:pPr>
        <w:ind w:left="6462" w:hanging="180"/>
      </w:pPr>
    </w:lvl>
    <w:lvl w:ilvl="6" w:tplc="0409000F" w:tentative="1">
      <w:start w:val="1"/>
      <w:numFmt w:val="decimal"/>
      <w:lvlText w:val="%7."/>
      <w:lvlJc w:val="left"/>
      <w:pPr>
        <w:ind w:left="7182" w:hanging="360"/>
      </w:pPr>
    </w:lvl>
    <w:lvl w:ilvl="7" w:tplc="04090019" w:tentative="1">
      <w:start w:val="1"/>
      <w:numFmt w:val="lowerLetter"/>
      <w:lvlText w:val="%8."/>
      <w:lvlJc w:val="left"/>
      <w:pPr>
        <w:ind w:left="7902" w:hanging="360"/>
      </w:pPr>
    </w:lvl>
    <w:lvl w:ilvl="8" w:tplc="0409001B" w:tentative="1">
      <w:start w:val="1"/>
      <w:numFmt w:val="lowerRoman"/>
      <w:lvlText w:val="%9."/>
      <w:lvlJc w:val="right"/>
      <w:pPr>
        <w:ind w:left="8622" w:hanging="180"/>
      </w:pPr>
    </w:lvl>
  </w:abstractNum>
  <w:num w:numId="1">
    <w:abstractNumId w:val="1"/>
  </w:num>
  <w:num w:numId="2">
    <w:abstractNumId w:val="4"/>
  </w:num>
  <w:num w:numId="3">
    <w:abstractNumId w:val="2"/>
  </w:num>
  <w:num w:numId="4">
    <w:abstractNumId w:val="3"/>
  </w:num>
  <w:num w:numId="5">
    <w:abstractNumId w:val="5"/>
  </w:num>
  <w:num w:numId="6">
    <w:abstractNumId w:val="8"/>
  </w:num>
  <w:num w:numId="7">
    <w:abstractNumId w:val="0"/>
  </w:num>
  <w:num w:numId="8">
    <w:abstractNumId w:val="6"/>
  </w:num>
  <w:num w:numId="9">
    <w:abstractNumId w:val="9"/>
  </w:num>
  <w:num w:numId="10">
    <w:abstractNumId w:val="12"/>
  </w:num>
  <w:num w:numId="11">
    <w:abstractNumId w:val="7"/>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73C"/>
    <w:rsid w:val="00045D81"/>
    <w:rsid w:val="00050CEE"/>
    <w:rsid w:val="000659C2"/>
    <w:rsid w:val="000F66C7"/>
    <w:rsid w:val="00176251"/>
    <w:rsid w:val="001768E0"/>
    <w:rsid w:val="00271484"/>
    <w:rsid w:val="0028123E"/>
    <w:rsid w:val="00284B6D"/>
    <w:rsid w:val="00332DDD"/>
    <w:rsid w:val="003A1953"/>
    <w:rsid w:val="00454336"/>
    <w:rsid w:val="0052297B"/>
    <w:rsid w:val="00555CB7"/>
    <w:rsid w:val="00577007"/>
    <w:rsid w:val="005C4490"/>
    <w:rsid w:val="00666506"/>
    <w:rsid w:val="006D59FE"/>
    <w:rsid w:val="00747A32"/>
    <w:rsid w:val="00847D45"/>
    <w:rsid w:val="00887750"/>
    <w:rsid w:val="008B7CA9"/>
    <w:rsid w:val="008D3FFC"/>
    <w:rsid w:val="008E073C"/>
    <w:rsid w:val="008F72FD"/>
    <w:rsid w:val="00913EF7"/>
    <w:rsid w:val="009670C8"/>
    <w:rsid w:val="009C780F"/>
    <w:rsid w:val="009E4C5A"/>
    <w:rsid w:val="009F66C7"/>
    <w:rsid w:val="00A44A02"/>
    <w:rsid w:val="00B022A6"/>
    <w:rsid w:val="00B26510"/>
    <w:rsid w:val="00B77FF3"/>
    <w:rsid w:val="00BE3A1D"/>
    <w:rsid w:val="00BF7871"/>
    <w:rsid w:val="00C00AA1"/>
    <w:rsid w:val="00C05666"/>
    <w:rsid w:val="00C12C39"/>
    <w:rsid w:val="00CB7012"/>
    <w:rsid w:val="00CC60F2"/>
    <w:rsid w:val="00CF3173"/>
    <w:rsid w:val="00D67DD9"/>
    <w:rsid w:val="00D96625"/>
    <w:rsid w:val="00DB3234"/>
    <w:rsid w:val="00E467AB"/>
    <w:rsid w:val="00E9381A"/>
    <w:rsid w:val="00EF0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paragraph" w:styleId="Footer">
    <w:name w:val="footer"/>
    <w:basedOn w:val="Normal"/>
    <w:link w:val="FooterChar"/>
    <w:uiPriority w:val="99"/>
    <w:unhideWhenUsed/>
    <w:pPr>
      <w:spacing w:before="100" w:beforeAutospacing="1" w:after="100" w:afterAutospacing="1"/>
    </w:pPr>
  </w:style>
  <w:style w:type="character" w:customStyle="1" w:styleId="FooterChar">
    <w:name w:val="Footer Char"/>
    <w:link w:val="Footer"/>
    <w:uiPriority w:val="99"/>
    <w:rPr>
      <w:rFonts w:eastAsia="Times New Roman"/>
      <w:sz w:val="24"/>
      <w:szCs w:val="24"/>
    </w:rPr>
  </w:style>
  <w:style w:type="paragraph" w:styleId="BodyTextIndent2">
    <w:name w:val="Body Text Indent 2"/>
    <w:basedOn w:val="Normal"/>
    <w:link w:val="BodyTextIndent2Char"/>
    <w:uiPriority w:val="99"/>
    <w:semiHidden/>
    <w:unhideWhenUsed/>
    <w:pPr>
      <w:spacing w:before="100" w:beforeAutospacing="1" w:after="100" w:afterAutospacing="1"/>
    </w:pPr>
  </w:style>
  <w:style w:type="character" w:customStyle="1" w:styleId="BodyTextIndent2Char">
    <w:name w:val="Body Text Indent 2 Char"/>
    <w:link w:val="BodyTextIndent2"/>
    <w:uiPriority w:val="99"/>
    <w:semiHidden/>
    <w:rPr>
      <w:rFonts w:eastAsia="Times New Roman"/>
      <w:sz w:val="24"/>
      <w:szCs w:val="24"/>
    </w:rPr>
  </w:style>
  <w:style w:type="character" w:styleId="Emphasis">
    <w:name w:val="Emphasis"/>
    <w:uiPriority w:val="20"/>
    <w:qFormat/>
    <w:rPr>
      <w:i/>
      <w:iCs/>
    </w:rPr>
  </w:style>
  <w:style w:type="paragraph" w:styleId="BodyTextIndent">
    <w:name w:val="Body Text Indent"/>
    <w:basedOn w:val="Normal"/>
    <w:link w:val="BodyTextIndentChar"/>
    <w:uiPriority w:val="99"/>
    <w:unhideWhenUsed/>
    <w:pPr>
      <w:spacing w:before="100" w:beforeAutospacing="1" w:after="100" w:afterAutospacing="1"/>
    </w:pPr>
  </w:style>
  <w:style w:type="character" w:customStyle="1" w:styleId="BodyTextIndentChar">
    <w:name w:val="Body Text Indent Char"/>
    <w:link w:val="BodyTextIndent"/>
    <w:uiPriority w:val="99"/>
    <w:rPr>
      <w:rFonts w:eastAsia="Times New Roman"/>
      <w:sz w:val="24"/>
      <w:szCs w:val="24"/>
    </w:rPr>
  </w:style>
  <w:style w:type="paragraph" w:styleId="BalloonText">
    <w:name w:val="Balloon Text"/>
    <w:basedOn w:val="Normal"/>
    <w:link w:val="BalloonTextChar"/>
    <w:uiPriority w:val="99"/>
    <w:semiHidden/>
    <w:unhideWhenUsed/>
    <w:rsid w:val="000F66C7"/>
    <w:rPr>
      <w:rFonts w:ascii="Tahoma" w:hAnsi="Tahoma" w:cs="Tahoma"/>
      <w:sz w:val="16"/>
      <w:szCs w:val="16"/>
    </w:rPr>
  </w:style>
  <w:style w:type="character" w:customStyle="1" w:styleId="BalloonTextChar">
    <w:name w:val="Balloon Text Char"/>
    <w:link w:val="BalloonText"/>
    <w:uiPriority w:val="99"/>
    <w:semiHidden/>
    <w:rsid w:val="000F66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paragraph" w:styleId="Footer">
    <w:name w:val="footer"/>
    <w:basedOn w:val="Normal"/>
    <w:link w:val="FooterChar"/>
    <w:uiPriority w:val="99"/>
    <w:unhideWhenUsed/>
    <w:pPr>
      <w:spacing w:before="100" w:beforeAutospacing="1" w:after="100" w:afterAutospacing="1"/>
    </w:pPr>
  </w:style>
  <w:style w:type="character" w:customStyle="1" w:styleId="FooterChar">
    <w:name w:val="Footer Char"/>
    <w:link w:val="Footer"/>
    <w:uiPriority w:val="99"/>
    <w:rPr>
      <w:rFonts w:eastAsia="Times New Roman"/>
      <w:sz w:val="24"/>
      <w:szCs w:val="24"/>
    </w:rPr>
  </w:style>
  <w:style w:type="paragraph" w:styleId="BodyTextIndent2">
    <w:name w:val="Body Text Indent 2"/>
    <w:basedOn w:val="Normal"/>
    <w:link w:val="BodyTextIndent2Char"/>
    <w:uiPriority w:val="99"/>
    <w:semiHidden/>
    <w:unhideWhenUsed/>
    <w:pPr>
      <w:spacing w:before="100" w:beforeAutospacing="1" w:after="100" w:afterAutospacing="1"/>
    </w:pPr>
  </w:style>
  <w:style w:type="character" w:customStyle="1" w:styleId="BodyTextIndent2Char">
    <w:name w:val="Body Text Indent 2 Char"/>
    <w:link w:val="BodyTextIndent2"/>
    <w:uiPriority w:val="99"/>
    <w:semiHidden/>
    <w:rPr>
      <w:rFonts w:eastAsia="Times New Roman"/>
      <w:sz w:val="24"/>
      <w:szCs w:val="24"/>
    </w:rPr>
  </w:style>
  <w:style w:type="character" w:styleId="Emphasis">
    <w:name w:val="Emphasis"/>
    <w:uiPriority w:val="20"/>
    <w:qFormat/>
    <w:rPr>
      <w:i/>
      <w:iCs/>
    </w:rPr>
  </w:style>
  <w:style w:type="paragraph" w:styleId="BodyTextIndent">
    <w:name w:val="Body Text Indent"/>
    <w:basedOn w:val="Normal"/>
    <w:link w:val="BodyTextIndentChar"/>
    <w:uiPriority w:val="99"/>
    <w:unhideWhenUsed/>
    <w:pPr>
      <w:spacing w:before="100" w:beforeAutospacing="1" w:after="100" w:afterAutospacing="1"/>
    </w:pPr>
  </w:style>
  <w:style w:type="character" w:customStyle="1" w:styleId="BodyTextIndentChar">
    <w:name w:val="Body Text Indent Char"/>
    <w:link w:val="BodyTextIndent"/>
    <w:uiPriority w:val="99"/>
    <w:rPr>
      <w:rFonts w:eastAsia="Times New Roman"/>
      <w:sz w:val="24"/>
      <w:szCs w:val="24"/>
    </w:rPr>
  </w:style>
  <w:style w:type="paragraph" w:styleId="BalloonText">
    <w:name w:val="Balloon Text"/>
    <w:basedOn w:val="Normal"/>
    <w:link w:val="BalloonTextChar"/>
    <w:uiPriority w:val="99"/>
    <w:semiHidden/>
    <w:unhideWhenUsed/>
    <w:rsid w:val="000F66C7"/>
    <w:rPr>
      <w:rFonts w:ascii="Tahoma" w:hAnsi="Tahoma" w:cs="Tahoma"/>
      <w:sz w:val="16"/>
      <w:szCs w:val="16"/>
    </w:rPr>
  </w:style>
  <w:style w:type="character" w:customStyle="1" w:styleId="BalloonTextChar">
    <w:name w:val="Balloon Text Char"/>
    <w:link w:val="BalloonText"/>
    <w:uiPriority w:val="99"/>
    <w:semiHidden/>
    <w:rsid w:val="000F66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2856</Words>
  <Characters>16566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Munson Healthcare</Company>
  <LinksUpToDate>false</LinksUpToDate>
  <CharactersWithSpaces>19384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Steimel, Rochelle</dc:creator>
  <cp:keywords/>
  <dc:description/>
  <cp:lastModifiedBy>Kimball, Debbi</cp:lastModifiedBy>
  <cp:revision>5</cp:revision>
  <cp:lastPrinted>2013-05-13T16:21:00Z</cp:lastPrinted>
  <dcterms:created xsi:type="dcterms:W3CDTF">2013-05-21T20:15:00Z</dcterms:created>
  <dcterms:modified xsi:type="dcterms:W3CDTF">2013-05-21T20:19:00Z</dcterms:modified>
</cp:coreProperties>
</file>